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2D0E96" w14:textId="36EF085F" w:rsidR="001E5A97" w:rsidRPr="008A59D6" w:rsidRDefault="001E5A97" w:rsidP="00631E53">
      <w:pPr>
        <w:spacing w:line="240" w:lineRule="auto"/>
        <w:jc w:val="right"/>
        <w:rPr>
          <w:rFonts w:ascii="Aptos" w:hAnsi="Aptos"/>
        </w:rPr>
      </w:pPr>
      <w:r w:rsidRPr="008A59D6">
        <w:rPr>
          <w:rFonts w:ascii="Aptos" w:hAnsi="Aptos"/>
        </w:rPr>
        <w:t>Annabel Laidler</w:t>
      </w:r>
      <w:r w:rsidR="00631E53" w:rsidRPr="008A59D6">
        <w:rPr>
          <w:rFonts w:ascii="Aptos" w:hAnsi="Aptos"/>
        </w:rPr>
        <w:t xml:space="preserve">                                                                                                                                     </w:t>
      </w:r>
      <w:hyperlink r:id="rId4" w:history="1">
        <w:r w:rsidR="00631E53" w:rsidRPr="008A59D6">
          <w:rPr>
            <w:rStyle w:val="Hyperlink"/>
            <w:rFonts w:ascii="Aptos" w:hAnsi="Aptos"/>
          </w:rPr>
          <w:t>annabel.laidler.21@ucl.ac.uk</w:t>
        </w:r>
      </w:hyperlink>
      <w:r w:rsidRPr="008A59D6">
        <w:rPr>
          <w:rFonts w:ascii="Aptos" w:hAnsi="Aptos"/>
        </w:rPr>
        <w:t xml:space="preserve">          </w:t>
      </w:r>
      <w:r w:rsidR="00631E53" w:rsidRPr="008A59D6">
        <w:rPr>
          <w:rFonts w:ascii="Aptos" w:hAnsi="Aptos"/>
        </w:rPr>
        <w:t xml:space="preserve">                                                                                                                                                                </w:t>
      </w:r>
      <w:r w:rsidRPr="008A59D6">
        <w:rPr>
          <w:rFonts w:ascii="Aptos" w:hAnsi="Aptos"/>
        </w:rPr>
        <w:t xml:space="preserve"> PhD student</w:t>
      </w:r>
      <w:r w:rsidR="00631E53" w:rsidRPr="008A59D6">
        <w:rPr>
          <w:rFonts w:ascii="Aptos" w:hAnsi="Aptos"/>
        </w:rPr>
        <w:t>/research technician</w:t>
      </w:r>
      <w:r w:rsidRPr="008A59D6">
        <w:rPr>
          <w:rFonts w:ascii="Aptos" w:hAnsi="Aptos"/>
        </w:rPr>
        <w:t xml:space="preserve">                                                                                                                                                                          </w:t>
      </w:r>
      <w:r w:rsidR="00631E53" w:rsidRPr="008A59D6">
        <w:rPr>
          <w:rFonts w:ascii="Aptos" w:hAnsi="Aptos"/>
        </w:rPr>
        <w:t xml:space="preserve">        </w:t>
      </w:r>
      <w:r w:rsidRPr="008A59D6">
        <w:rPr>
          <w:rFonts w:ascii="Aptos" w:hAnsi="Aptos"/>
        </w:rPr>
        <w:t xml:space="preserve">              UCL Cancer Institute                                                                                                                                                                 University College London                                                                                                                                                                       72 Huntley Street                                                                                                                                                                              WC1E 6DD</w:t>
      </w:r>
    </w:p>
    <w:p w14:paraId="593BB32B" w14:textId="77777777" w:rsidR="001E5A97" w:rsidRPr="008A59D6" w:rsidRDefault="001E5A97" w:rsidP="001E5A97">
      <w:pPr>
        <w:spacing w:line="240" w:lineRule="auto"/>
        <w:jc w:val="right"/>
        <w:rPr>
          <w:rFonts w:ascii="Aptos" w:hAnsi="Aptos"/>
        </w:rPr>
      </w:pPr>
    </w:p>
    <w:p w14:paraId="7D9152D0" w14:textId="2DD274BC" w:rsidR="001E5A97" w:rsidRPr="008A59D6" w:rsidRDefault="001E5A97" w:rsidP="001E5A97">
      <w:pPr>
        <w:spacing w:line="240" w:lineRule="auto"/>
        <w:rPr>
          <w:rFonts w:ascii="Aptos" w:hAnsi="Aptos"/>
        </w:rPr>
      </w:pPr>
      <w:r w:rsidRPr="008A59D6">
        <w:rPr>
          <w:rFonts w:ascii="Aptos" w:hAnsi="Aptos"/>
        </w:rPr>
        <w:t>Dear UKMS executive committee panel members,</w:t>
      </w:r>
    </w:p>
    <w:p w14:paraId="60263F70" w14:textId="77777777" w:rsidR="00F73FC5" w:rsidRPr="008A59D6" w:rsidRDefault="00F73FC5" w:rsidP="00F73FC5">
      <w:pPr>
        <w:spacing w:line="240" w:lineRule="auto"/>
        <w:rPr>
          <w:rFonts w:ascii="Aptos" w:hAnsi="Aptos"/>
        </w:rPr>
      </w:pPr>
      <w:r w:rsidRPr="008A59D6">
        <w:rPr>
          <w:rFonts w:ascii="Aptos" w:hAnsi="Aptos"/>
        </w:rPr>
        <w:t>I am writing to apply for a travel bursary to attend the 23rd IMS Annual Meeting 2026 in Glasgow.</w:t>
      </w:r>
    </w:p>
    <w:p w14:paraId="164AA97B" w14:textId="77777777" w:rsidR="00F73FC5" w:rsidRPr="008A59D6" w:rsidRDefault="00F73FC5" w:rsidP="00F73FC5">
      <w:pPr>
        <w:spacing w:line="240" w:lineRule="auto"/>
        <w:rPr>
          <w:rFonts w:ascii="Aptos" w:hAnsi="Aptos"/>
        </w:rPr>
      </w:pPr>
      <w:r w:rsidRPr="008A59D6">
        <w:rPr>
          <w:rFonts w:ascii="Aptos" w:hAnsi="Aptos"/>
        </w:rPr>
        <w:t xml:space="preserve">I am a final-year PhD student and Research Technician whose work focuses on dissecting the role of tumour-directed T cells in the progression from smouldering myeloma to multiple myeloma. To address this question, I have employed both wet-lab and dry-lab approaches. </w:t>
      </w:r>
    </w:p>
    <w:p w14:paraId="0E95A1C8" w14:textId="32441B67" w:rsidR="00F73FC5" w:rsidRPr="008A59D6" w:rsidRDefault="00F73FC5" w:rsidP="001E5A97">
      <w:pPr>
        <w:spacing w:line="240" w:lineRule="auto"/>
        <w:rPr>
          <w:rFonts w:ascii="Aptos" w:hAnsi="Aptos"/>
        </w:rPr>
      </w:pPr>
      <w:r w:rsidRPr="008A59D6">
        <w:rPr>
          <w:rFonts w:ascii="Aptos" w:hAnsi="Aptos"/>
        </w:rPr>
        <w:t xml:space="preserve">The abstract submitted to IMS focuses on the dry-lab component of this work and uses longitudinal bulk </w:t>
      </w:r>
      <w:r w:rsidR="007B5928" w:rsidRPr="008A59D6">
        <w:rPr>
          <w:rFonts w:ascii="Aptos" w:hAnsi="Aptos"/>
        </w:rPr>
        <w:t>T-cell receptor (</w:t>
      </w:r>
      <w:r w:rsidRPr="008A59D6">
        <w:rPr>
          <w:rFonts w:ascii="Aptos" w:hAnsi="Aptos"/>
        </w:rPr>
        <w:t>TCR</w:t>
      </w:r>
      <w:r w:rsidR="007B5928" w:rsidRPr="008A59D6">
        <w:rPr>
          <w:rFonts w:ascii="Aptos" w:hAnsi="Aptos"/>
        </w:rPr>
        <w:t>)</w:t>
      </w:r>
      <w:r w:rsidRPr="008A59D6">
        <w:rPr>
          <w:rFonts w:ascii="Aptos" w:hAnsi="Aptos"/>
        </w:rPr>
        <w:t xml:space="preserve"> sequencing to </w:t>
      </w:r>
      <w:r w:rsidR="00D817B0" w:rsidRPr="008A59D6">
        <w:rPr>
          <w:rFonts w:ascii="Aptos" w:hAnsi="Aptos"/>
        </w:rPr>
        <w:t xml:space="preserve">track dynamics of the adaptive anti-tumour response </w:t>
      </w:r>
      <w:r w:rsidRPr="008A59D6">
        <w:rPr>
          <w:rFonts w:ascii="Aptos" w:hAnsi="Aptos"/>
        </w:rPr>
        <w:t xml:space="preserve">associated with disease progression, using healthy donors and patients with stable smouldering myeloma as comparator groups. </w:t>
      </w:r>
      <w:r w:rsidR="007F71C9" w:rsidRPr="007F71C9">
        <w:rPr>
          <w:rFonts w:ascii="Aptos" w:hAnsi="Aptos"/>
        </w:rPr>
        <w:t xml:space="preserve">The abstract, entitled </w:t>
      </w:r>
      <w:r w:rsidR="007F71C9" w:rsidRPr="007F71C9">
        <w:rPr>
          <w:rFonts w:ascii="Aptos" w:hAnsi="Aptos"/>
          <w:i/>
          <w:iCs/>
        </w:rPr>
        <w:t>"Longitudinal analysis of the TCR repertoire in smouldering multiple myeloma reveals relative expansion of shared-sequence TCR clusters compared to healthy donors"</w:t>
      </w:r>
      <w:r w:rsidR="007F71C9" w:rsidRPr="007F71C9">
        <w:rPr>
          <w:rFonts w:ascii="Aptos" w:hAnsi="Aptos"/>
        </w:rPr>
        <w:t>, is enclosed below for reference and has recently been accepted for poster presentation at IMS.</w:t>
      </w:r>
    </w:p>
    <w:p w14:paraId="34D91C06" w14:textId="7B9B9D62" w:rsidR="00F73FC5" w:rsidRDefault="00F73FC5" w:rsidP="00F73FC5">
      <w:pPr>
        <w:spacing w:line="240" w:lineRule="auto"/>
        <w:rPr>
          <w:rFonts w:ascii="Aptos" w:hAnsi="Aptos" w:cs="Calibri"/>
          <w:lang w:val="en-US"/>
        </w:rPr>
      </w:pPr>
      <w:r w:rsidRPr="008A59D6">
        <w:rPr>
          <w:rFonts w:ascii="Aptos" w:hAnsi="Aptos" w:cs="Calibri"/>
          <w:lang w:val="en-US"/>
        </w:rPr>
        <w:t>I would greatly value the opportunity to attend the conference in person and present these findings if the abstract is accepted. I am currently preparing a manuscript based on this work, and participation in IMS would provide an excellent opportunity to disseminate these findings, receive feedback from experts in the field, establish new collaborations, and learn about the latest advances in myeloma research.</w:t>
      </w:r>
      <w:r w:rsidR="00F05F95">
        <w:rPr>
          <w:rFonts w:ascii="Aptos" w:hAnsi="Aptos" w:cs="Calibri"/>
          <w:lang w:val="en-US"/>
        </w:rPr>
        <w:t xml:space="preserve"> </w:t>
      </w:r>
    </w:p>
    <w:p w14:paraId="224BB405" w14:textId="7E109620" w:rsidR="004728C3" w:rsidRPr="008A59D6" w:rsidRDefault="004728C3" w:rsidP="00F73FC5">
      <w:pPr>
        <w:spacing w:line="240" w:lineRule="auto"/>
        <w:rPr>
          <w:rFonts w:ascii="Aptos" w:hAnsi="Aptos" w:cs="Calibri"/>
          <w:lang w:val="en-US"/>
        </w:rPr>
      </w:pPr>
      <w:r w:rsidRPr="004728C3">
        <w:rPr>
          <w:rFonts w:ascii="Aptos" w:hAnsi="Aptos" w:cs="Calibri"/>
          <w:lang w:val="en-US"/>
        </w:rPr>
        <w:t>I do not currently have access to any other sources of funding to support attendance at IMS 2026, and consequently this bursary would be essential in enabling my participation.</w:t>
      </w:r>
    </w:p>
    <w:p w14:paraId="0814E31B" w14:textId="42E74257" w:rsidR="00F73FC5" w:rsidRPr="008A59D6" w:rsidRDefault="00F73FC5" w:rsidP="00F73FC5">
      <w:pPr>
        <w:spacing w:line="240" w:lineRule="auto"/>
        <w:rPr>
          <w:rFonts w:ascii="Aptos" w:hAnsi="Aptos" w:cs="Calibri"/>
          <w:lang w:val="en-US"/>
        </w:rPr>
      </w:pPr>
      <w:r w:rsidRPr="008A59D6">
        <w:rPr>
          <w:rFonts w:ascii="Aptos" w:hAnsi="Aptos" w:cs="Calibri"/>
          <w:lang w:val="en-US"/>
        </w:rPr>
        <w:t>I attended IMS in 2024, where I benefited greatly from discussions with researchers and clinicians and was able to develop valuable collaborative links. I am confident that attending IMS 2026 would similarly contribute to both my professional development and the advancement of my research.</w:t>
      </w:r>
    </w:p>
    <w:p w14:paraId="55871042" w14:textId="24593CE1" w:rsidR="00F73FC5" w:rsidRPr="008A59D6" w:rsidRDefault="00F73FC5" w:rsidP="00F73FC5">
      <w:pPr>
        <w:spacing w:line="240" w:lineRule="auto"/>
        <w:rPr>
          <w:rFonts w:ascii="Aptos" w:hAnsi="Aptos" w:cs="Calibri"/>
          <w:lang w:val="en-US"/>
        </w:rPr>
      </w:pPr>
      <w:r w:rsidRPr="008A59D6">
        <w:rPr>
          <w:rFonts w:ascii="Aptos" w:hAnsi="Aptos" w:cs="Calibri"/>
          <w:lang w:val="en-US"/>
        </w:rPr>
        <w:t>Thank you for considering my application. I would be very grateful for your support and look forward to hearing from you.</w:t>
      </w:r>
    </w:p>
    <w:p w14:paraId="5619529A" w14:textId="4ED2644A" w:rsidR="00F73FC5" w:rsidRPr="008A59D6" w:rsidRDefault="00F73FC5" w:rsidP="001E5A97">
      <w:pPr>
        <w:spacing w:line="240" w:lineRule="auto"/>
        <w:rPr>
          <w:rFonts w:ascii="Aptos" w:hAnsi="Aptos" w:cs="Calibri"/>
          <w:lang w:val="en-US"/>
        </w:rPr>
      </w:pPr>
      <w:r w:rsidRPr="008A59D6">
        <w:rPr>
          <w:rFonts w:ascii="Aptos" w:hAnsi="Aptos" w:cs="Calibri"/>
          <w:lang w:val="en-US"/>
        </w:rPr>
        <w:t xml:space="preserve">Yours sincerely, </w:t>
      </w:r>
    </w:p>
    <w:p w14:paraId="56A41AAB" w14:textId="360D8DEF" w:rsidR="00F73FC5" w:rsidRPr="008A59D6" w:rsidRDefault="00F73FC5" w:rsidP="001E5A97">
      <w:pPr>
        <w:spacing w:line="240" w:lineRule="auto"/>
        <w:rPr>
          <w:rFonts w:ascii="Aptos" w:hAnsi="Aptos" w:cs="Calibri"/>
          <w:lang w:val="en-US"/>
        </w:rPr>
      </w:pPr>
      <w:r w:rsidRPr="008A59D6">
        <w:rPr>
          <w:rFonts w:ascii="Aptos" w:hAnsi="Aptos" w:cs="Calibri"/>
          <w:lang w:val="en-US"/>
        </w:rPr>
        <w:t>Annabel Laidler</w:t>
      </w:r>
    </w:p>
    <w:p w14:paraId="444E0598" w14:textId="77777777" w:rsidR="00432155" w:rsidRDefault="00432155" w:rsidP="00483DE5">
      <w:pPr>
        <w:rPr>
          <w:rFonts w:ascii="Aptos" w:hAnsi="Aptos"/>
          <w:sz w:val="20"/>
          <w:szCs w:val="20"/>
        </w:rPr>
      </w:pPr>
    </w:p>
    <w:p w14:paraId="4531EDF0" w14:textId="2D8DF02D" w:rsidR="00483DE5" w:rsidRPr="008A59D6" w:rsidRDefault="00483DE5" w:rsidP="00483DE5">
      <w:pPr>
        <w:rPr>
          <w:rFonts w:ascii="Aptos" w:hAnsi="Aptos" w:cs="Calibri"/>
          <w:b/>
          <w:bCs/>
          <w:sz w:val="20"/>
          <w:szCs w:val="20"/>
        </w:rPr>
      </w:pPr>
      <w:r w:rsidRPr="008A59D6">
        <w:rPr>
          <w:rFonts w:ascii="Aptos" w:hAnsi="Aptos" w:cs="Calibri"/>
          <w:b/>
          <w:bCs/>
          <w:sz w:val="21"/>
          <w:szCs w:val="21"/>
          <w:lang w:val="en-US"/>
        </w:rPr>
        <w:lastRenderedPageBreak/>
        <w:t>Longitudinal analysis of TCR repertoire in smouldering multiple myeloma reveals relative expansion of shared-sequence TCR clusters compared to healthy donors</w:t>
      </w:r>
    </w:p>
    <w:p w14:paraId="2781F737" w14:textId="7F0F7074" w:rsidR="00483DE5" w:rsidRPr="00C44B46" w:rsidRDefault="00483DE5" w:rsidP="00483DE5">
      <w:pPr>
        <w:rPr>
          <w:rFonts w:ascii="Aptos" w:hAnsi="Aptos" w:cs="Calibri"/>
          <w:sz w:val="18"/>
          <w:szCs w:val="18"/>
          <w:vertAlign w:val="superscript"/>
        </w:rPr>
      </w:pPr>
      <w:r w:rsidRPr="00C44B46">
        <w:rPr>
          <w:rFonts w:ascii="Aptos" w:hAnsi="Aptos" w:cs="Calibri"/>
          <w:sz w:val="18"/>
          <w:szCs w:val="18"/>
        </w:rPr>
        <w:t>Annabel Laidler</w:t>
      </w:r>
      <w:r w:rsidR="00893FEB" w:rsidRPr="00C44B46">
        <w:rPr>
          <w:rFonts w:ascii="Aptos" w:hAnsi="Aptos" w:cs="Calibri"/>
          <w:sz w:val="18"/>
          <w:szCs w:val="18"/>
          <w:vertAlign w:val="superscript"/>
        </w:rPr>
        <w:t>1</w:t>
      </w:r>
      <w:r w:rsidRPr="00C44B46">
        <w:rPr>
          <w:rFonts w:ascii="Aptos" w:hAnsi="Aptos" w:cs="Calibri"/>
          <w:sz w:val="18"/>
          <w:szCs w:val="18"/>
        </w:rPr>
        <w:t>, Matthew Cowley</w:t>
      </w:r>
      <w:r w:rsidR="00893FEB" w:rsidRPr="00C44B46">
        <w:rPr>
          <w:rFonts w:ascii="Aptos" w:hAnsi="Aptos" w:cs="Calibri"/>
          <w:sz w:val="18"/>
          <w:szCs w:val="18"/>
          <w:vertAlign w:val="superscript"/>
        </w:rPr>
        <w:t>2</w:t>
      </w:r>
      <w:r w:rsidRPr="00C44B46">
        <w:rPr>
          <w:rFonts w:ascii="Aptos" w:hAnsi="Aptos" w:cs="Calibri"/>
          <w:sz w:val="18"/>
          <w:szCs w:val="18"/>
        </w:rPr>
        <w:t>, Trupti Gore</w:t>
      </w:r>
      <w:r w:rsidR="00893FEB" w:rsidRPr="00C44B46">
        <w:rPr>
          <w:rFonts w:ascii="Aptos" w:hAnsi="Aptos" w:cs="Calibri"/>
          <w:sz w:val="18"/>
          <w:szCs w:val="18"/>
          <w:vertAlign w:val="superscript"/>
        </w:rPr>
        <w:t>2</w:t>
      </w:r>
      <w:r w:rsidRPr="00C44B46">
        <w:rPr>
          <w:rFonts w:ascii="Aptos" w:hAnsi="Aptos" w:cs="Calibri"/>
          <w:sz w:val="18"/>
          <w:szCs w:val="18"/>
        </w:rPr>
        <w:t>, David Scobie</w:t>
      </w:r>
      <w:r w:rsidR="00893FEB" w:rsidRPr="00C44B46">
        <w:rPr>
          <w:rFonts w:ascii="Aptos" w:hAnsi="Aptos" w:cs="Calibri"/>
          <w:sz w:val="18"/>
          <w:szCs w:val="18"/>
          <w:vertAlign w:val="superscript"/>
        </w:rPr>
        <w:t>2</w:t>
      </w:r>
      <w:r w:rsidRPr="00C44B46">
        <w:rPr>
          <w:rFonts w:ascii="Aptos" w:hAnsi="Aptos" w:cs="Calibri"/>
          <w:sz w:val="18"/>
          <w:szCs w:val="18"/>
        </w:rPr>
        <w:t>, Suzanne Byrne</w:t>
      </w:r>
      <w:r w:rsidR="00893FEB" w:rsidRPr="00C44B46">
        <w:rPr>
          <w:rFonts w:ascii="Aptos" w:hAnsi="Aptos" w:cs="Calibri"/>
          <w:sz w:val="18"/>
          <w:szCs w:val="18"/>
          <w:vertAlign w:val="superscript"/>
        </w:rPr>
        <w:t>2</w:t>
      </w:r>
      <w:r w:rsidRPr="00C44B46">
        <w:rPr>
          <w:rFonts w:ascii="Aptos" w:hAnsi="Aptos" w:cs="Calibri"/>
          <w:sz w:val="18"/>
          <w:szCs w:val="18"/>
        </w:rPr>
        <w:t>, Gayathri Nageswaran</w:t>
      </w:r>
      <w:r w:rsidR="00893FEB" w:rsidRPr="00C44B46">
        <w:rPr>
          <w:rFonts w:ascii="Aptos" w:hAnsi="Aptos" w:cs="Calibri"/>
          <w:sz w:val="18"/>
          <w:szCs w:val="18"/>
          <w:vertAlign w:val="superscript"/>
        </w:rPr>
        <w:t>2</w:t>
      </w:r>
      <w:r w:rsidRPr="00C44B46">
        <w:rPr>
          <w:rFonts w:ascii="Aptos" w:hAnsi="Aptos" w:cs="Calibri"/>
          <w:sz w:val="18"/>
          <w:szCs w:val="18"/>
        </w:rPr>
        <w:t>, Adlina Chan</w:t>
      </w:r>
      <w:r w:rsidR="003E541D" w:rsidRPr="00C44B46">
        <w:rPr>
          <w:rFonts w:ascii="Aptos" w:hAnsi="Aptos" w:cs="Calibri"/>
          <w:sz w:val="18"/>
          <w:szCs w:val="18"/>
          <w:vertAlign w:val="superscript"/>
        </w:rPr>
        <w:t>2</w:t>
      </w:r>
      <w:r w:rsidRPr="00C44B46">
        <w:rPr>
          <w:rFonts w:ascii="Aptos" w:hAnsi="Aptos" w:cs="Calibri"/>
          <w:sz w:val="18"/>
          <w:szCs w:val="18"/>
        </w:rPr>
        <w:t>, Rethina Shritharan</w:t>
      </w:r>
      <w:r w:rsidR="003E541D" w:rsidRPr="00C44B46">
        <w:rPr>
          <w:rFonts w:ascii="Aptos" w:hAnsi="Aptos" w:cs="Calibri"/>
          <w:sz w:val="18"/>
          <w:szCs w:val="18"/>
          <w:vertAlign w:val="superscript"/>
        </w:rPr>
        <w:t>1</w:t>
      </w:r>
      <w:r w:rsidRPr="00C44B46">
        <w:rPr>
          <w:rFonts w:ascii="Aptos" w:hAnsi="Aptos" w:cs="Calibri"/>
          <w:sz w:val="18"/>
          <w:szCs w:val="18"/>
        </w:rPr>
        <w:t>, Louise Ainley</w:t>
      </w:r>
      <w:r w:rsidR="003E541D" w:rsidRPr="00C44B46">
        <w:rPr>
          <w:rFonts w:ascii="Aptos" w:hAnsi="Aptos" w:cs="Calibri"/>
          <w:sz w:val="18"/>
          <w:szCs w:val="18"/>
          <w:vertAlign w:val="superscript"/>
        </w:rPr>
        <w:t>1,3</w:t>
      </w:r>
      <w:r w:rsidRPr="00C44B46">
        <w:rPr>
          <w:rFonts w:ascii="Aptos" w:hAnsi="Aptos" w:cs="Calibri"/>
          <w:sz w:val="18"/>
          <w:szCs w:val="18"/>
        </w:rPr>
        <w:t>, Jessica Kimber</w:t>
      </w:r>
      <w:r w:rsidR="003E541D" w:rsidRPr="00C44B46">
        <w:rPr>
          <w:rFonts w:ascii="Aptos" w:hAnsi="Aptos" w:cs="Calibri"/>
          <w:sz w:val="18"/>
          <w:szCs w:val="18"/>
          <w:vertAlign w:val="superscript"/>
        </w:rPr>
        <w:t>1</w:t>
      </w:r>
      <w:r w:rsidRPr="00C44B46">
        <w:rPr>
          <w:rFonts w:ascii="Aptos" w:hAnsi="Aptos" w:cs="Calibri"/>
          <w:sz w:val="18"/>
          <w:szCs w:val="18"/>
        </w:rPr>
        <w:t>, Emma Lyon</w:t>
      </w:r>
      <w:r w:rsidR="003E541D" w:rsidRPr="00C44B46">
        <w:rPr>
          <w:rFonts w:ascii="Aptos" w:hAnsi="Aptos" w:cs="Calibri"/>
          <w:sz w:val="18"/>
          <w:szCs w:val="18"/>
          <w:vertAlign w:val="superscript"/>
        </w:rPr>
        <w:t>1</w:t>
      </w:r>
      <w:r w:rsidRPr="00C44B46">
        <w:rPr>
          <w:rFonts w:ascii="Aptos" w:hAnsi="Aptos" w:cs="Calibri"/>
          <w:sz w:val="18"/>
          <w:szCs w:val="18"/>
        </w:rPr>
        <w:t>, Alice Lefever</w:t>
      </w:r>
      <w:r w:rsidR="003E541D" w:rsidRPr="00C44B46">
        <w:rPr>
          <w:rFonts w:ascii="Aptos" w:hAnsi="Aptos" w:cs="Calibri"/>
          <w:sz w:val="18"/>
          <w:szCs w:val="18"/>
          <w:vertAlign w:val="superscript"/>
        </w:rPr>
        <w:t>1</w:t>
      </w:r>
      <w:r w:rsidRPr="00C44B46">
        <w:rPr>
          <w:rFonts w:ascii="Aptos" w:hAnsi="Aptos" w:cs="Calibri"/>
          <w:sz w:val="18"/>
          <w:szCs w:val="18"/>
        </w:rPr>
        <w:t>, Daniel Hughes</w:t>
      </w:r>
      <w:r w:rsidR="003E541D" w:rsidRPr="00C44B46">
        <w:rPr>
          <w:rFonts w:ascii="Aptos" w:hAnsi="Aptos" w:cs="Calibri"/>
          <w:sz w:val="18"/>
          <w:szCs w:val="18"/>
          <w:vertAlign w:val="superscript"/>
        </w:rPr>
        <w:t>1,3</w:t>
      </w:r>
      <w:r w:rsidRPr="00C44B46">
        <w:rPr>
          <w:rFonts w:ascii="Aptos" w:hAnsi="Aptos" w:cs="Calibri"/>
          <w:sz w:val="18"/>
          <w:szCs w:val="18"/>
        </w:rPr>
        <w:t>, Bethan Hudson-Lund</w:t>
      </w:r>
      <w:r w:rsidR="003E541D" w:rsidRPr="00C44B46">
        <w:rPr>
          <w:rFonts w:ascii="Aptos" w:hAnsi="Aptos" w:cs="Calibri"/>
          <w:sz w:val="18"/>
          <w:szCs w:val="18"/>
          <w:vertAlign w:val="superscript"/>
        </w:rPr>
        <w:t>1</w:t>
      </w:r>
      <w:r w:rsidRPr="00C44B46">
        <w:rPr>
          <w:rFonts w:ascii="Aptos" w:hAnsi="Aptos" w:cs="Calibri"/>
          <w:sz w:val="18"/>
          <w:szCs w:val="18"/>
        </w:rPr>
        <w:t>, Elise Rees</w:t>
      </w:r>
      <w:r w:rsidR="003E541D" w:rsidRPr="00C44B46">
        <w:rPr>
          <w:rFonts w:ascii="Aptos" w:hAnsi="Aptos" w:cs="Calibri"/>
          <w:sz w:val="18"/>
          <w:szCs w:val="18"/>
          <w:vertAlign w:val="superscript"/>
        </w:rPr>
        <w:t>1</w:t>
      </w:r>
      <w:r w:rsidRPr="00C44B46">
        <w:rPr>
          <w:rFonts w:ascii="Aptos" w:hAnsi="Aptos" w:cs="Calibri"/>
          <w:sz w:val="18"/>
          <w:szCs w:val="18"/>
        </w:rPr>
        <w:t>, Dylan Jankovic</w:t>
      </w:r>
      <w:r w:rsidR="003E541D" w:rsidRPr="00C44B46">
        <w:rPr>
          <w:rFonts w:ascii="Aptos" w:hAnsi="Aptos" w:cs="Calibri"/>
          <w:sz w:val="18"/>
          <w:szCs w:val="18"/>
          <w:vertAlign w:val="superscript"/>
        </w:rPr>
        <w:t>1</w:t>
      </w:r>
      <w:r w:rsidRPr="00C44B46">
        <w:rPr>
          <w:rFonts w:ascii="Aptos" w:hAnsi="Aptos" w:cs="Calibri"/>
          <w:sz w:val="18"/>
          <w:szCs w:val="18"/>
        </w:rPr>
        <w:t>, Grant Vallance</w:t>
      </w:r>
      <w:r w:rsidR="00245D37" w:rsidRPr="00C44B46">
        <w:rPr>
          <w:rFonts w:ascii="Aptos" w:hAnsi="Aptos" w:cs="Calibri"/>
          <w:sz w:val="18"/>
          <w:szCs w:val="18"/>
          <w:vertAlign w:val="superscript"/>
        </w:rPr>
        <w:t>4</w:t>
      </w:r>
      <w:r w:rsidRPr="00C44B46">
        <w:rPr>
          <w:rFonts w:ascii="Aptos" w:hAnsi="Aptos" w:cs="Calibri"/>
          <w:sz w:val="18"/>
          <w:szCs w:val="18"/>
        </w:rPr>
        <w:t>, Ceri Bygrave</w:t>
      </w:r>
      <w:r w:rsidR="00245D37" w:rsidRPr="00C44B46">
        <w:rPr>
          <w:rFonts w:ascii="Aptos" w:hAnsi="Aptos" w:cs="Calibri"/>
          <w:sz w:val="18"/>
          <w:szCs w:val="18"/>
          <w:vertAlign w:val="superscript"/>
        </w:rPr>
        <w:t>5</w:t>
      </w:r>
      <w:r w:rsidRPr="00C44B46">
        <w:rPr>
          <w:rFonts w:ascii="Aptos" w:hAnsi="Aptos" w:cs="Calibri"/>
          <w:sz w:val="18"/>
          <w:szCs w:val="18"/>
        </w:rPr>
        <w:t>, Dean Smith</w:t>
      </w:r>
      <w:r w:rsidR="00245D37" w:rsidRPr="00C44B46">
        <w:rPr>
          <w:rFonts w:ascii="Aptos" w:hAnsi="Aptos" w:cs="Calibri"/>
          <w:sz w:val="18"/>
          <w:szCs w:val="18"/>
          <w:vertAlign w:val="superscript"/>
        </w:rPr>
        <w:t>6</w:t>
      </w:r>
      <w:r w:rsidRPr="00C44B46">
        <w:rPr>
          <w:rFonts w:ascii="Aptos" w:hAnsi="Aptos" w:cs="Calibri"/>
          <w:sz w:val="18"/>
          <w:szCs w:val="18"/>
        </w:rPr>
        <w:t>, Karthik Ramasamy</w:t>
      </w:r>
      <w:r w:rsidR="00C44B46" w:rsidRPr="00C44B46">
        <w:rPr>
          <w:rFonts w:ascii="Aptos" w:hAnsi="Aptos" w:cs="Calibri"/>
          <w:sz w:val="18"/>
          <w:szCs w:val="18"/>
          <w:vertAlign w:val="superscript"/>
        </w:rPr>
        <w:t>7</w:t>
      </w:r>
      <w:r w:rsidRPr="00C44B46">
        <w:rPr>
          <w:rFonts w:ascii="Aptos" w:hAnsi="Aptos" w:cs="Calibri"/>
          <w:sz w:val="18"/>
          <w:szCs w:val="18"/>
        </w:rPr>
        <w:t>, Andreas Tiffeau-Mayer</w:t>
      </w:r>
      <w:r w:rsidR="00245D37" w:rsidRPr="00C44B46">
        <w:rPr>
          <w:rFonts w:ascii="Aptos" w:hAnsi="Aptos" w:cs="Calibri"/>
          <w:sz w:val="18"/>
          <w:szCs w:val="18"/>
          <w:vertAlign w:val="superscript"/>
        </w:rPr>
        <w:t>2</w:t>
      </w:r>
      <w:r w:rsidRPr="00C44B46">
        <w:rPr>
          <w:rFonts w:ascii="Aptos" w:hAnsi="Aptos" w:cs="Calibri"/>
          <w:sz w:val="18"/>
          <w:szCs w:val="18"/>
        </w:rPr>
        <w:t>, Eileen Boyle</w:t>
      </w:r>
      <w:r w:rsidR="00245D37" w:rsidRPr="00C44B46">
        <w:rPr>
          <w:rFonts w:ascii="Aptos" w:hAnsi="Aptos" w:cs="Calibri"/>
          <w:sz w:val="18"/>
          <w:szCs w:val="18"/>
          <w:vertAlign w:val="superscript"/>
        </w:rPr>
        <w:t>1,3</w:t>
      </w:r>
      <w:r w:rsidRPr="00C44B46">
        <w:rPr>
          <w:rFonts w:ascii="Aptos" w:hAnsi="Aptos" w:cs="Calibri"/>
          <w:sz w:val="18"/>
          <w:szCs w:val="18"/>
        </w:rPr>
        <w:t>, Kwee Yong</w:t>
      </w:r>
      <w:r w:rsidR="00245D37" w:rsidRPr="00C44B46">
        <w:rPr>
          <w:rFonts w:ascii="Aptos" w:hAnsi="Aptos" w:cs="Calibri"/>
          <w:sz w:val="18"/>
          <w:szCs w:val="18"/>
          <w:vertAlign w:val="superscript"/>
        </w:rPr>
        <w:t>1,3</w:t>
      </w:r>
      <w:r w:rsidRPr="00C44B46">
        <w:rPr>
          <w:rFonts w:ascii="Aptos" w:hAnsi="Aptos" w:cs="Calibri"/>
          <w:sz w:val="18"/>
          <w:szCs w:val="18"/>
        </w:rPr>
        <w:t>, Benny Chain</w:t>
      </w:r>
      <w:r w:rsidR="00245D37" w:rsidRPr="00C44B46">
        <w:rPr>
          <w:rFonts w:ascii="Aptos" w:hAnsi="Aptos" w:cs="Calibri"/>
          <w:sz w:val="18"/>
          <w:szCs w:val="18"/>
          <w:vertAlign w:val="superscript"/>
        </w:rPr>
        <w:t>2</w:t>
      </w:r>
      <w:r w:rsidRPr="00C44B46">
        <w:rPr>
          <w:rFonts w:ascii="Aptos" w:hAnsi="Aptos" w:cs="Calibri"/>
          <w:sz w:val="18"/>
          <w:szCs w:val="18"/>
        </w:rPr>
        <w:t>, Lydia Lee</w:t>
      </w:r>
      <w:r w:rsidR="00245D37" w:rsidRPr="00C44B46">
        <w:rPr>
          <w:rFonts w:ascii="Aptos" w:hAnsi="Aptos" w:cs="Calibri"/>
          <w:sz w:val="18"/>
          <w:szCs w:val="18"/>
          <w:vertAlign w:val="superscript"/>
        </w:rPr>
        <w:t>1,3</w:t>
      </w:r>
    </w:p>
    <w:p w14:paraId="699513F9" w14:textId="41E1C69D" w:rsidR="001626F7" w:rsidRPr="00893FEB" w:rsidRDefault="008F59D2" w:rsidP="00483DE5">
      <w:pPr>
        <w:rPr>
          <w:rFonts w:ascii="Aptos" w:hAnsi="Aptos" w:cs="Calibri"/>
          <w:i/>
          <w:iCs/>
          <w:sz w:val="16"/>
          <w:szCs w:val="16"/>
        </w:rPr>
      </w:pPr>
      <w:r w:rsidRPr="00893FEB">
        <w:rPr>
          <w:rFonts w:ascii="Aptos" w:hAnsi="Aptos" w:cs="Calibri"/>
          <w:i/>
          <w:iCs/>
          <w:sz w:val="16"/>
          <w:szCs w:val="16"/>
          <w:vertAlign w:val="superscript"/>
        </w:rPr>
        <w:t>1</w:t>
      </w:r>
      <w:r w:rsidRPr="00893FEB">
        <w:rPr>
          <w:rFonts w:ascii="Aptos" w:hAnsi="Aptos" w:cs="Calibri"/>
          <w:i/>
          <w:iCs/>
          <w:sz w:val="16"/>
          <w:szCs w:val="16"/>
        </w:rPr>
        <w:t xml:space="preserve">Cancer Institute, University College London; </w:t>
      </w:r>
      <w:r w:rsidRPr="00893FEB">
        <w:rPr>
          <w:rFonts w:ascii="Aptos" w:hAnsi="Aptos" w:cs="Calibri"/>
          <w:i/>
          <w:iCs/>
          <w:sz w:val="16"/>
          <w:szCs w:val="16"/>
          <w:vertAlign w:val="superscript"/>
        </w:rPr>
        <w:t>2</w:t>
      </w:r>
      <w:r w:rsidRPr="00893FEB">
        <w:rPr>
          <w:rFonts w:ascii="Aptos" w:hAnsi="Aptos" w:cs="Calibri"/>
          <w:i/>
          <w:iCs/>
          <w:sz w:val="16"/>
          <w:szCs w:val="16"/>
        </w:rPr>
        <w:t xml:space="preserve">Division of Infection and Immunity, University College London; </w:t>
      </w:r>
      <w:r w:rsidRPr="00893FEB">
        <w:rPr>
          <w:rFonts w:ascii="Aptos" w:hAnsi="Aptos" w:cs="Calibri"/>
          <w:i/>
          <w:iCs/>
          <w:sz w:val="16"/>
          <w:szCs w:val="16"/>
          <w:vertAlign w:val="superscript"/>
        </w:rPr>
        <w:t>3</w:t>
      </w:r>
      <w:r w:rsidRPr="00893FEB">
        <w:rPr>
          <w:rFonts w:ascii="Aptos" w:hAnsi="Aptos" w:cs="Calibri"/>
          <w:i/>
          <w:iCs/>
          <w:sz w:val="16"/>
          <w:szCs w:val="16"/>
        </w:rPr>
        <w:t xml:space="preserve">University College London Hospitals NHS Foundation Trust; </w:t>
      </w:r>
      <w:r w:rsidRPr="00893FEB">
        <w:rPr>
          <w:rFonts w:ascii="Aptos" w:hAnsi="Aptos" w:cs="Calibri"/>
          <w:i/>
          <w:iCs/>
          <w:sz w:val="16"/>
          <w:szCs w:val="16"/>
          <w:vertAlign w:val="superscript"/>
        </w:rPr>
        <w:t>4</w:t>
      </w:r>
      <w:r w:rsidRPr="00893FEB">
        <w:rPr>
          <w:rFonts w:ascii="Aptos" w:hAnsi="Aptos" w:cs="Calibri"/>
          <w:i/>
          <w:iCs/>
          <w:sz w:val="16"/>
          <w:szCs w:val="16"/>
        </w:rPr>
        <w:t xml:space="preserve">Oxford University Hospitals NHS Foundation Trust; </w:t>
      </w:r>
      <w:r w:rsidRPr="00893FEB">
        <w:rPr>
          <w:rFonts w:ascii="Aptos" w:hAnsi="Aptos" w:cs="Calibri"/>
          <w:i/>
          <w:iCs/>
          <w:sz w:val="16"/>
          <w:szCs w:val="16"/>
          <w:vertAlign w:val="superscript"/>
        </w:rPr>
        <w:t>5</w:t>
      </w:r>
      <w:r w:rsidRPr="00893FEB">
        <w:rPr>
          <w:rFonts w:ascii="Aptos" w:hAnsi="Aptos" w:cs="Calibri"/>
          <w:i/>
          <w:iCs/>
          <w:sz w:val="16"/>
          <w:szCs w:val="16"/>
        </w:rPr>
        <w:t xml:space="preserve">University Hospital of Wales, Cardiff; </w:t>
      </w:r>
      <w:r w:rsidRPr="00893FEB">
        <w:rPr>
          <w:rFonts w:ascii="Aptos" w:hAnsi="Aptos" w:cs="Calibri"/>
          <w:i/>
          <w:iCs/>
          <w:sz w:val="16"/>
          <w:szCs w:val="16"/>
          <w:vertAlign w:val="superscript"/>
        </w:rPr>
        <w:t>6</w:t>
      </w:r>
      <w:r w:rsidRPr="00893FEB">
        <w:rPr>
          <w:rFonts w:ascii="Aptos" w:hAnsi="Aptos" w:cs="Calibri"/>
          <w:i/>
          <w:iCs/>
          <w:sz w:val="16"/>
          <w:szCs w:val="16"/>
        </w:rPr>
        <w:t xml:space="preserve">Nottingham City Hospital, Nottingham; </w:t>
      </w:r>
      <w:r w:rsidR="00C44B46">
        <w:rPr>
          <w:rFonts w:ascii="Aptos" w:hAnsi="Aptos" w:cs="Calibri"/>
          <w:i/>
          <w:iCs/>
          <w:sz w:val="16"/>
          <w:szCs w:val="16"/>
          <w:vertAlign w:val="superscript"/>
        </w:rPr>
        <w:t>7</w:t>
      </w:r>
      <w:r w:rsidRPr="00893FEB">
        <w:rPr>
          <w:rFonts w:ascii="Aptos" w:hAnsi="Aptos" w:cs="Calibri"/>
          <w:i/>
          <w:iCs/>
          <w:sz w:val="16"/>
          <w:szCs w:val="16"/>
        </w:rPr>
        <w:t>NDORMS, University of Oxford, Oxford</w:t>
      </w:r>
    </w:p>
    <w:p w14:paraId="3FF5C974" w14:textId="112B3B00" w:rsidR="00483DE5" w:rsidRPr="008A59D6" w:rsidRDefault="00483DE5" w:rsidP="00483DE5">
      <w:pPr>
        <w:pStyle w:val="NormalWeb"/>
        <w:spacing w:before="280" w:after="280" w:line="300" w:lineRule="atLeast"/>
        <w:rPr>
          <w:rFonts w:ascii="Aptos" w:hAnsi="Aptos" w:cs="Calibri"/>
          <w:sz w:val="20"/>
          <w:szCs w:val="20"/>
        </w:rPr>
      </w:pPr>
      <w:r w:rsidRPr="008A59D6">
        <w:rPr>
          <w:rFonts w:ascii="Aptos" w:hAnsi="Aptos" w:cs="Calibri"/>
          <w:b/>
          <w:bCs/>
          <w:sz w:val="20"/>
          <w:szCs w:val="20"/>
        </w:rPr>
        <w:t>Introduction:</w:t>
      </w:r>
      <w:r w:rsidRPr="008A59D6">
        <w:rPr>
          <w:rFonts w:ascii="Aptos" w:hAnsi="Aptos" w:cs="Calibri"/>
          <w:sz w:val="20"/>
          <w:szCs w:val="20"/>
        </w:rPr>
        <w:t xml:space="preserve"> While </w:t>
      </w:r>
      <w:r w:rsidR="00893FEB">
        <w:rPr>
          <w:rFonts w:ascii="Aptos" w:hAnsi="Aptos" w:cs="Calibri"/>
          <w:sz w:val="20"/>
          <w:szCs w:val="20"/>
        </w:rPr>
        <w:t>t</w:t>
      </w:r>
      <w:r w:rsidRPr="008A59D6">
        <w:rPr>
          <w:rFonts w:ascii="Aptos" w:hAnsi="Aptos" w:cs="Calibri"/>
          <w:sz w:val="20"/>
          <w:szCs w:val="20"/>
        </w:rPr>
        <w:t>umour-reactive T cells have been described in multiple myeloma (MM), their role in maintaining disease quiescence in smouldering multiple myeloma (SMM) and progression to MM remains unclear. We sought to perform longitudinal comparisons of TCR dynamics in SMM relative to normal temporal fluctuation in healthy donor (HD) TCR repertoire to help define T-cell contribution to disease control.</w:t>
      </w:r>
    </w:p>
    <w:p w14:paraId="533E4420" w14:textId="77777777" w:rsidR="00483DE5" w:rsidRPr="008A59D6" w:rsidRDefault="00483DE5" w:rsidP="00483DE5">
      <w:pPr>
        <w:pStyle w:val="NormalWeb"/>
        <w:spacing w:before="280" w:after="280" w:line="300" w:lineRule="atLeast"/>
        <w:rPr>
          <w:rFonts w:ascii="Aptos" w:hAnsi="Aptos" w:cs="Calibri"/>
          <w:sz w:val="20"/>
          <w:szCs w:val="20"/>
        </w:rPr>
      </w:pPr>
      <w:r w:rsidRPr="008A59D6">
        <w:rPr>
          <w:rFonts w:ascii="Aptos" w:hAnsi="Aptos" w:cs="Calibri"/>
          <w:b/>
          <w:bCs/>
          <w:color w:val="000000" w:themeColor="text1"/>
          <w:sz w:val="20"/>
          <w:szCs w:val="20"/>
        </w:rPr>
        <w:t xml:space="preserve">Methods: </w:t>
      </w:r>
      <w:r w:rsidRPr="008A59D6">
        <w:rPr>
          <w:rFonts w:ascii="Aptos" w:hAnsi="Aptos" w:cs="Calibri"/>
          <w:color w:val="000000" w:themeColor="text1"/>
          <w:sz w:val="20"/>
          <w:szCs w:val="20"/>
        </w:rPr>
        <w:t xml:space="preserve">Longitudinal samples from SMM patients enrolled in the COSMOS study (baseline through progression; progressors (P) n=8, non-progressors (NP) n=7) </w:t>
      </w:r>
      <w:r w:rsidRPr="008A59D6">
        <w:rPr>
          <w:rFonts w:ascii="Aptos" w:hAnsi="Aptos" w:cs="Calibri"/>
          <w:sz w:val="20"/>
          <w:szCs w:val="20"/>
        </w:rPr>
        <w:t>underwent TCR sequencing. HD repertoires were obtained from COVIDsortium participants (n=13, 12-month interval). No significant differences in TCR count or clonality (Simpson’s index) were observed between first and last timepoints across HDs, NP, and P. Thus, TCRs were filtered by edit distance ≤2 and clustered using TCRdist to group sequences with similar CDR3 regions (likely to target the same antigen). Per cluster abundance, defined as the summed abundance of constituent TCRs at each timepoint, was compared between baseline and final timepoints and sequentially filtered based on deviations from null expectations. Significantly expanding and contracting clusters (log2 odds ratio &gt;0 and &lt;0, respectively) were identified by a ClusterScore (−log</w:t>
      </w:r>
      <w:r w:rsidRPr="008A59D6">
        <w:rPr>
          <w:rFonts w:ascii="Aptos" w:hAnsi="Aptos" w:cs="Calibri"/>
          <w:sz w:val="20"/>
          <w:szCs w:val="20"/>
          <w:vertAlign w:val="subscript"/>
        </w:rPr>
        <w:t>10</w:t>
      </w:r>
      <w:r w:rsidRPr="008A59D6">
        <w:rPr>
          <w:rFonts w:ascii="Aptos" w:hAnsi="Aptos" w:cs="Calibri"/>
          <w:sz w:val="20"/>
          <w:szCs w:val="20"/>
        </w:rPr>
        <w:t>FDR derived from Fisher’s exact test &lt; 0.05).</w:t>
      </w:r>
    </w:p>
    <w:p w14:paraId="16C8696D" w14:textId="77777777" w:rsidR="00483DE5" w:rsidRPr="008A59D6" w:rsidRDefault="00483DE5" w:rsidP="00483DE5">
      <w:pPr>
        <w:pStyle w:val="NormalWeb"/>
        <w:spacing w:before="280" w:after="280" w:line="300" w:lineRule="atLeast"/>
        <w:rPr>
          <w:rFonts w:ascii="Aptos" w:hAnsi="Aptos" w:cs="Calibri"/>
          <w:sz w:val="20"/>
          <w:szCs w:val="20"/>
        </w:rPr>
      </w:pPr>
      <w:r w:rsidRPr="008A59D6">
        <w:rPr>
          <w:rFonts w:ascii="Aptos" w:hAnsi="Aptos" w:cs="Calibri"/>
          <w:b/>
          <w:bCs/>
          <w:sz w:val="20"/>
          <w:szCs w:val="20"/>
        </w:rPr>
        <w:t>Results:</w:t>
      </w:r>
      <w:r w:rsidRPr="008A59D6">
        <w:rPr>
          <w:rFonts w:ascii="Aptos" w:hAnsi="Aptos" w:cs="Calibri"/>
          <w:sz w:val="20"/>
          <w:szCs w:val="20"/>
        </w:rPr>
        <w:t xml:space="preserve"> In paired samples with sufficient TCR reads (HD=13, NP=4, P=4), the proportion of dynamic clusters retained after filtering was comparable between all groups. However, ratio of expanding to contracting clusters revealed a distinct skew at point of progression toward expanding clusters, not observed in HDs or NP. Linear modelling of median ClusterScore incorporating repertoire size confirmed progression status as a significant predictor of contracting cluster number, with progressors exhibiting markedly fewer contracting clusters, resulting in a relative expansion-dominant repertoire shift. Viral annotation using Tcrictionary (viral database) showed minimal enrichment among expanding clusters (1 viral cluster in each of 2 progressors).</w:t>
      </w:r>
    </w:p>
    <w:p w14:paraId="2181405C" w14:textId="77777777" w:rsidR="00483DE5" w:rsidRPr="008A59D6" w:rsidRDefault="00483DE5" w:rsidP="00483DE5">
      <w:pPr>
        <w:spacing w:line="300" w:lineRule="atLeast"/>
        <w:rPr>
          <w:rFonts w:ascii="Aptos" w:eastAsia="Times New Roman" w:hAnsi="Aptos" w:cs="Calibri"/>
          <w:kern w:val="0"/>
          <w:sz w:val="20"/>
          <w:szCs w:val="20"/>
          <w:lang w:eastAsia="en-GB"/>
          <w14:ligatures w14:val="none"/>
        </w:rPr>
      </w:pPr>
      <w:r w:rsidRPr="008A59D6">
        <w:rPr>
          <w:rFonts w:ascii="Aptos" w:hAnsi="Aptos" w:cs="Calibri"/>
          <w:sz w:val="20"/>
          <w:szCs w:val="20"/>
        </w:rPr>
        <w:t xml:space="preserve">Single-cell analysis of matched samples showed clusters were predominantly CD8+ at baseline, enriched for cytotoxic and effector memory phenotypes. At progression, expanding clusters were characterised by increased early terminal effector memory (TEM) cells and reduced cytotoxic TEM representation, a shift not seen in contracting clusters. </w:t>
      </w:r>
      <w:r w:rsidRPr="008A59D6">
        <w:rPr>
          <w:rFonts w:ascii="Aptos" w:eastAsia="Times New Roman" w:hAnsi="Aptos" w:cs="Calibri"/>
          <w:kern w:val="0"/>
          <w:sz w:val="20"/>
          <w:szCs w:val="20"/>
          <w:lang w:eastAsia="en-GB"/>
          <w14:ligatures w14:val="none"/>
        </w:rPr>
        <w:t>This indicates preferential expansion of T cells with a suboptimal cytotoxic phenotype, which may impair effective tumour control and facilitate disease progression.</w:t>
      </w:r>
    </w:p>
    <w:p w14:paraId="3DB968C8" w14:textId="2D9A68CC" w:rsidR="00483DE5" w:rsidRPr="00432155" w:rsidRDefault="00483DE5" w:rsidP="00432155">
      <w:pPr>
        <w:pStyle w:val="NormalWeb"/>
        <w:spacing w:before="280" w:after="280" w:line="300" w:lineRule="atLeast"/>
        <w:rPr>
          <w:rFonts w:ascii="Aptos" w:hAnsi="Aptos" w:cs="Calibri"/>
          <w:sz w:val="20"/>
          <w:szCs w:val="20"/>
        </w:rPr>
      </w:pPr>
      <w:r w:rsidRPr="008A59D6">
        <w:rPr>
          <w:rFonts w:ascii="Aptos" w:hAnsi="Aptos" w:cs="Calibri"/>
          <w:b/>
          <w:bCs/>
          <w:sz w:val="20"/>
          <w:szCs w:val="20"/>
        </w:rPr>
        <w:t xml:space="preserve">Conclusion: </w:t>
      </w:r>
      <w:r w:rsidRPr="008A59D6">
        <w:rPr>
          <w:rFonts w:ascii="Aptos" w:hAnsi="Aptos" w:cs="Calibri"/>
          <w:sz w:val="20"/>
          <w:szCs w:val="20"/>
        </w:rPr>
        <w:t>Together, comparison with HD dynamics identifies a progression-associated shift toward expanding TCR clusters, likely reflecting tumour-driven clonal expansion. The accompanying enrichment of less cytotoxic CD8+ TEM cells suggests impaired functional capacity, providing a potential mechanism for loss of immune control and transition from SMM to MM.</w:t>
      </w:r>
    </w:p>
    <w:sectPr w:rsidR="00483DE5" w:rsidRPr="00432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97"/>
    <w:rsid w:val="001626F7"/>
    <w:rsid w:val="001E5A97"/>
    <w:rsid w:val="00245D37"/>
    <w:rsid w:val="002F7291"/>
    <w:rsid w:val="00350C11"/>
    <w:rsid w:val="003C4BED"/>
    <w:rsid w:val="003E541D"/>
    <w:rsid w:val="00432155"/>
    <w:rsid w:val="004728C3"/>
    <w:rsid w:val="00483DE5"/>
    <w:rsid w:val="004D3E79"/>
    <w:rsid w:val="0051461C"/>
    <w:rsid w:val="0052121F"/>
    <w:rsid w:val="005D188F"/>
    <w:rsid w:val="00631E53"/>
    <w:rsid w:val="0071086D"/>
    <w:rsid w:val="00781E2E"/>
    <w:rsid w:val="0078347B"/>
    <w:rsid w:val="007B5928"/>
    <w:rsid w:val="007F71C9"/>
    <w:rsid w:val="00893FEB"/>
    <w:rsid w:val="008A59D6"/>
    <w:rsid w:val="008F59D2"/>
    <w:rsid w:val="00A61227"/>
    <w:rsid w:val="00AB0E77"/>
    <w:rsid w:val="00C44B46"/>
    <w:rsid w:val="00CF5CCD"/>
    <w:rsid w:val="00D817B0"/>
    <w:rsid w:val="00E02741"/>
    <w:rsid w:val="00F05F95"/>
    <w:rsid w:val="00F309B2"/>
    <w:rsid w:val="00F73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EDFC8D"/>
  <w15:chartTrackingRefBased/>
  <w15:docId w15:val="{5502CE62-B0EA-BC46-AE4A-820A2084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A97"/>
    <w:rPr>
      <w:rFonts w:eastAsiaTheme="majorEastAsia" w:cstheme="majorBidi"/>
      <w:color w:val="272727" w:themeColor="text1" w:themeTint="D8"/>
    </w:rPr>
  </w:style>
  <w:style w:type="paragraph" w:styleId="Title">
    <w:name w:val="Title"/>
    <w:basedOn w:val="Normal"/>
    <w:next w:val="Normal"/>
    <w:link w:val="TitleChar"/>
    <w:uiPriority w:val="10"/>
    <w:qFormat/>
    <w:rsid w:val="001E5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A97"/>
    <w:pPr>
      <w:spacing w:before="160"/>
      <w:jc w:val="center"/>
    </w:pPr>
    <w:rPr>
      <w:i/>
      <w:iCs/>
      <w:color w:val="404040" w:themeColor="text1" w:themeTint="BF"/>
    </w:rPr>
  </w:style>
  <w:style w:type="character" w:customStyle="1" w:styleId="QuoteChar">
    <w:name w:val="Quote Char"/>
    <w:basedOn w:val="DefaultParagraphFont"/>
    <w:link w:val="Quote"/>
    <w:uiPriority w:val="29"/>
    <w:rsid w:val="001E5A97"/>
    <w:rPr>
      <w:i/>
      <w:iCs/>
      <w:color w:val="404040" w:themeColor="text1" w:themeTint="BF"/>
    </w:rPr>
  </w:style>
  <w:style w:type="paragraph" w:styleId="ListParagraph">
    <w:name w:val="List Paragraph"/>
    <w:basedOn w:val="Normal"/>
    <w:uiPriority w:val="34"/>
    <w:qFormat/>
    <w:rsid w:val="001E5A97"/>
    <w:pPr>
      <w:ind w:left="720"/>
      <w:contextualSpacing/>
    </w:pPr>
  </w:style>
  <w:style w:type="character" w:styleId="IntenseEmphasis">
    <w:name w:val="Intense Emphasis"/>
    <w:basedOn w:val="DefaultParagraphFont"/>
    <w:uiPriority w:val="21"/>
    <w:qFormat/>
    <w:rsid w:val="001E5A97"/>
    <w:rPr>
      <w:i/>
      <w:iCs/>
      <w:color w:val="0F4761" w:themeColor="accent1" w:themeShade="BF"/>
    </w:rPr>
  </w:style>
  <w:style w:type="paragraph" w:styleId="IntenseQuote">
    <w:name w:val="Intense Quote"/>
    <w:basedOn w:val="Normal"/>
    <w:next w:val="Normal"/>
    <w:link w:val="IntenseQuoteChar"/>
    <w:uiPriority w:val="30"/>
    <w:qFormat/>
    <w:rsid w:val="001E5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A97"/>
    <w:rPr>
      <w:i/>
      <w:iCs/>
      <w:color w:val="0F4761" w:themeColor="accent1" w:themeShade="BF"/>
    </w:rPr>
  </w:style>
  <w:style w:type="character" w:styleId="IntenseReference">
    <w:name w:val="Intense Reference"/>
    <w:basedOn w:val="DefaultParagraphFont"/>
    <w:uiPriority w:val="32"/>
    <w:qFormat/>
    <w:rsid w:val="001E5A97"/>
    <w:rPr>
      <w:b/>
      <w:bCs/>
      <w:smallCaps/>
      <w:color w:val="0F4761" w:themeColor="accent1" w:themeShade="BF"/>
      <w:spacing w:val="5"/>
    </w:rPr>
  </w:style>
  <w:style w:type="character" w:styleId="Hyperlink">
    <w:name w:val="Hyperlink"/>
    <w:basedOn w:val="DefaultParagraphFont"/>
    <w:uiPriority w:val="99"/>
    <w:unhideWhenUsed/>
    <w:rsid w:val="001E5A97"/>
    <w:rPr>
      <w:color w:val="467886" w:themeColor="hyperlink"/>
      <w:u w:val="single"/>
    </w:rPr>
  </w:style>
  <w:style w:type="character" w:styleId="UnresolvedMention">
    <w:name w:val="Unresolved Mention"/>
    <w:basedOn w:val="DefaultParagraphFont"/>
    <w:uiPriority w:val="99"/>
    <w:semiHidden/>
    <w:unhideWhenUsed/>
    <w:rsid w:val="001E5A97"/>
    <w:rPr>
      <w:color w:val="605E5C"/>
      <w:shd w:val="clear" w:color="auto" w:fill="E1DFDD"/>
    </w:rPr>
  </w:style>
  <w:style w:type="character" w:styleId="FollowedHyperlink">
    <w:name w:val="FollowedHyperlink"/>
    <w:basedOn w:val="DefaultParagraphFont"/>
    <w:uiPriority w:val="99"/>
    <w:semiHidden/>
    <w:unhideWhenUsed/>
    <w:rsid w:val="00631E53"/>
    <w:rPr>
      <w:color w:val="96607D" w:themeColor="followedHyperlink"/>
      <w:u w:val="single"/>
    </w:rPr>
  </w:style>
  <w:style w:type="paragraph" w:styleId="NormalWeb">
    <w:name w:val="Normal (Web)"/>
    <w:basedOn w:val="Normal"/>
    <w:uiPriority w:val="99"/>
    <w:unhideWhenUsed/>
    <w:qFormat/>
    <w:rsid w:val="00483DE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abel.laidler.21@u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847</Words>
  <Characters>5255</Characters>
  <Application>Microsoft Office Word</Application>
  <DocSecurity>4</DocSecurity>
  <Lines>82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Laidler</dc:creator>
  <cp:keywords/>
  <dc:description/>
  <cp:lastModifiedBy>Wendy Notowicz</cp:lastModifiedBy>
  <cp:revision>2</cp:revision>
  <dcterms:created xsi:type="dcterms:W3CDTF">2026-07-09T09:51:00Z</dcterms:created>
  <dcterms:modified xsi:type="dcterms:W3CDTF">2026-07-09T09:51:00Z</dcterms:modified>
</cp:coreProperties>
</file>