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EDBFC1" w14:textId="77777777" w:rsidR="00DF09AE" w:rsidRPr="00DF09AE" w:rsidRDefault="00DF09AE" w:rsidP="00DF09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Verdana" w:hAnsi="Verdana" w:cs="Helvetica"/>
          <w:kern w:val="0"/>
          <w:sz w:val="18"/>
          <w:szCs w:val="18"/>
        </w:rPr>
      </w:pPr>
      <w:r w:rsidRPr="00DF09AE">
        <w:rPr>
          <w:rFonts w:ascii="Verdana" w:hAnsi="Verdana" w:cs="Helvetica"/>
          <w:kern w:val="0"/>
          <w:sz w:val="18"/>
          <w:szCs w:val="18"/>
        </w:rPr>
        <w:t>Report on 67th American Society of Hematology (ASH) Annual Meeting, held December 6–9, 2025</w:t>
      </w:r>
    </w:p>
    <w:p w14:paraId="03E23F36" w14:textId="77777777" w:rsidR="00DF09AE" w:rsidRPr="00DF09AE" w:rsidRDefault="00DF09AE" w:rsidP="00DF09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Verdana" w:hAnsi="Verdana" w:cs="Helvetica"/>
          <w:kern w:val="0"/>
          <w:sz w:val="18"/>
          <w:szCs w:val="18"/>
        </w:rPr>
      </w:pPr>
      <w:r w:rsidRPr="00DF09AE">
        <w:rPr>
          <w:rFonts w:ascii="Verdana" w:hAnsi="Verdana" w:cs="Helvetica"/>
          <w:kern w:val="0"/>
          <w:sz w:val="18"/>
          <w:szCs w:val="18"/>
        </w:rPr>
        <w:t>By Berrin Balik ,Myeloma Fellow, University of Oxford</w:t>
      </w:r>
    </w:p>
    <w:p w14:paraId="199FA3E8" w14:textId="77777777" w:rsidR="00DF09AE" w:rsidRPr="00DF09AE" w:rsidRDefault="00DF09AE" w:rsidP="00DF09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Verdana" w:hAnsi="Verdana" w:cs="Helvetica"/>
          <w:kern w:val="0"/>
          <w:sz w:val="18"/>
          <w:szCs w:val="18"/>
        </w:rPr>
      </w:pPr>
    </w:p>
    <w:p w14:paraId="1C5FB1FB" w14:textId="77777777" w:rsidR="00DF09AE" w:rsidRPr="00DF09AE" w:rsidRDefault="00DF09AE" w:rsidP="00DF09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Verdana" w:hAnsi="Verdana" w:cs="Helvetica"/>
          <w:kern w:val="0"/>
          <w:sz w:val="18"/>
          <w:szCs w:val="18"/>
        </w:rPr>
      </w:pPr>
      <w:r w:rsidRPr="00DF09AE">
        <w:rPr>
          <w:rFonts w:ascii="Verdana" w:eastAsia="Times New Roman" w:hAnsi="Verdana" w:cs="Times New Roman"/>
          <w:color w:val="000000"/>
          <w:kern w:val="0"/>
          <w:sz w:val="18"/>
          <w:szCs w:val="18"/>
          <w:lang w:eastAsia="en-GB"/>
          <w14:ligatures w14:val="none"/>
        </w:rPr>
        <w:t>I am writing to summarise the professional value gained from attending the 67th American Society of Hematology (ASH) Annual Meeting, held December 6–9, 2025, in Orlando, and to express my sincere gratitude to the UK Myeloma Society for awarding me the bursary that made my participation possible. As a young hematologist, having the opportunity to present orally our work from OTMC, AI-based analysis reveals novel blood protein biomarkers for predicting cardiac amyloidosis approximately a decade early: A UK biobank study, and engage with colleagues from around the world, and immerse myself in the latest developments in plasma cell disorders was truly transformative.</w:t>
      </w:r>
    </w:p>
    <w:p w14:paraId="1E3BB497" w14:textId="77777777" w:rsidR="00DF09AE" w:rsidRPr="00DF09AE" w:rsidRDefault="00DF09AE" w:rsidP="00DF09AE">
      <w:pPr>
        <w:spacing w:before="100" w:beforeAutospacing="1" w:after="100" w:afterAutospacing="1"/>
        <w:rPr>
          <w:rFonts w:ascii="Verdana" w:eastAsia="Times New Roman" w:hAnsi="Verdana" w:cs="Times New Roman"/>
          <w:color w:val="000000"/>
          <w:kern w:val="0"/>
          <w:sz w:val="18"/>
          <w:szCs w:val="18"/>
          <w:lang w:eastAsia="en-GB"/>
          <w14:ligatures w14:val="none"/>
        </w:rPr>
      </w:pPr>
      <w:r w:rsidRPr="00DF09AE">
        <w:rPr>
          <w:rFonts w:ascii="Verdana" w:eastAsia="Times New Roman" w:hAnsi="Verdana" w:cs="Times New Roman"/>
          <w:color w:val="000000"/>
          <w:kern w:val="0"/>
          <w:sz w:val="18"/>
          <w:szCs w:val="18"/>
          <w:lang w:eastAsia="en-GB"/>
          <w14:ligatures w14:val="none"/>
        </w:rPr>
        <w:t xml:space="preserve">Throughout the meeting, I found it helpful to organise the major scientific developments moving from precursor disease detection to frontline therapy, relapse management, and advanced immunotherapeutic strategies. </w:t>
      </w:r>
    </w:p>
    <w:p w14:paraId="738BC67D" w14:textId="77777777" w:rsidR="00DF09AE" w:rsidRPr="00DF09AE" w:rsidRDefault="00DF09AE" w:rsidP="00DF09AE">
      <w:pPr>
        <w:spacing w:before="100" w:beforeAutospacing="1" w:after="100" w:afterAutospacing="1"/>
        <w:rPr>
          <w:rFonts w:ascii="Verdana" w:eastAsia="Times New Roman" w:hAnsi="Verdana" w:cs="Times New Roman"/>
          <w:color w:val="000000"/>
          <w:kern w:val="0"/>
          <w:sz w:val="18"/>
          <w:szCs w:val="18"/>
          <w:lang w:eastAsia="en-GB"/>
          <w14:ligatures w14:val="none"/>
        </w:rPr>
      </w:pPr>
      <w:r w:rsidRPr="00DF09AE">
        <w:rPr>
          <w:rFonts w:ascii="Verdana" w:eastAsia="Times New Roman" w:hAnsi="Verdana" w:cs="Times New Roman"/>
          <w:color w:val="000000"/>
          <w:kern w:val="0"/>
          <w:sz w:val="18"/>
          <w:szCs w:val="18"/>
          <w:lang w:eastAsia="en-GB"/>
          <w14:ligatures w14:val="none"/>
        </w:rPr>
        <w:t xml:space="preserve">The PROMISE study, involving nearly 30,000 individuals, demonstrated that large scale screening refines our understanding of the true prevalence, biological features, and progression risk of MGUS and related precursor states, enabling earlier identification of high risk individuals. </w:t>
      </w:r>
    </w:p>
    <w:p w14:paraId="544AAE1B" w14:textId="77777777" w:rsidR="00DF09AE" w:rsidRPr="00DF09AE" w:rsidRDefault="00DF09AE" w:rsidP="00DF09AE">
      <w:pPr>
        <w:spacing w:before="100" w:beforeAutospacing="1" w:after="100" w:afterAutospacing="1"/>
        <w:rPr>
          <w:rFonts w:ascii="Verdana" w:eastAsia="Times New Roman" w:hAnsi="Verdana" w:cs="Times New Roman"/>
          <w:color w:val="000000"/>
          <w:kern w:val="0"/>
          <w:sz w:val="18"/>
          <w:szCs w:val="18"/>
          <w:lang w:eastAsia="en-GB"/>
          <w14:ligatures w14:val="none"/>
        </w:rPr>
      </w:pPr>
      <w:r w:rsidRPr="00DF09AE">
        <w:rPr>
          <w:rFonts w:ascii="Verdana" w:eastAsia="Times New Roman" w:hAnsi="Verdana" w:cs="Times New Roman"/>
          <w:color w:val="000000"/>
          <w:kern w:val="0"/>
          <w:sz w:val="18"/>
          <w:szCs w:val="18"/>
          <w:lang w:eastAsia="en-GB"/>
          <w14:ligatures w14:val="none"/>
        </w:rPr>
        <w:t>The concept of monoclonal gammopathy of indeterminate potential (MGIP) as a stable premalignant entity preceding hematologic malignancy  as a clonal condition with the same B-cell receptor sequences as monoclonal gammopathy of undetermined significance (MGUS) and myeloma, and that over 80% of MGIP cases progress to MGUS or smoldering myeloma</w:t>
      </w:r>
    </w:p>
    <w:p w14:paraId="50063606" w14:textId="77777777" w:rsidR="00DF09AE" w:rsidRPr="00DF09AE" w:rsidRDefault="00DF09AE" w:rsidP="00DF09AE">
      <w:pPr>
        <w:spacing w:before="100" w:beforeAutospacing="1" w:after="100" w:afterAutospacing="1"/>
        <w:rPr>
          <w:rFonts w:ascii="Verdana" w:eastAsia="Times New Roman" w:hAnsi="Verdana" w:cs="Times New Roman"/>
          <w:color w:val="000000"/>
          <w:kern w:val="0"/>
          <w:sz w:val="18"/>
          <w:szCs w:val="18"/>
          <w:lang w:eastAsia="en-GB"/>
          <w14:ligatures w14:val="none"/>
        </w:rPr>
      </w:pPr>
      <w:r w:rsidRPr="00DF09AE">
        <w:rPr>
          <w:rFonts w:ascii="Verdana" w:eastAsia="Times New Roman" w:hAnsi="Verdana" w:cs="Times New Roman"/>
          <w:color w:val="000000"/>
          <w:kern w:val="0"/>
          <w:sz w:val="18"/>
          <w:szCs w:val="18"/>
          <w:lang w:eastAsia="en-GB"/>
          <w14:ligatures w14:val="none"/>
        </w:rPr>
        <w:t>In smoldering myeloma, the AQUILA study confirmed that prolonged anti-CD38 therapy significantly delays progression, and the updated IMWG score allows for more precise risk stratification.</w:t>
      </w:r>
    </w:p>
    <w:p w14:paraId="19535375" w14:textId="77777777" w:rsidR="00DF09AE" w:rsidRPr="00DF09AE" w:rsidRDefault="00DF09AE" w:rsidP="00DF09AE">
      <w:pPr>
        <w:spacing w:before="100" w:beforeAutospacing="1" w:after="100" w:afterAutospacing="1"/>
        <w:rPr>
          <w:rFonts w:ascii="Verdana" w:eastAsia="Times New Roman" w:hAnsi="Verdana" w:cs="Times New Roman"/>
          <w:color w:val="000000"/>
          <w:kern w:val="0"/>
          <w:sz w:val="18"/>
          <w:szCs w:val="18"/>
          <w:lang w:eastAsia="en-GB"/>
          <w14:ligatures w14:val="none"/>
        </w:rPr>
      </w:pPr>
      <w:r w:rsidRPr="00DF09AE">
        <w:rPr>
          <w:rFonts w:ascii="Verdana" w:eastAsia="Times New Roman" w:hAnsi="Verdana" w:cs="Times New Roman"/>
          <w:color w:val="000000"/>
          <w:kern w:val="0"/>
          <w:sz w:val="18"/>
          <w:szCs w:val="18"/>
          <w:lang w:eastAsia="en-GB"/>
          <w14:ligatures w14:val="none"/>
        </w:rPr>
        <w:t>The IFM 2021 the combination of teclistamab and daratumumab in older patients with newly diagnosed multiple myeloma (MM) who are ineligible for high-dose chemotherapy with autologous stem cell transplantation (autoSCT) showed that all patients responded to the treatment, with most achieving complete response (CR) and all evaluable patients achieving measurable residual disease (MRD) negativity at 6 months and showed that combining teclistamab with daratumumab is feasible, well-tolerated, and clinically active. BENEFIT (Isatuximab-VRd vs Isa-Rd) showed quadruplet induction followed by ASCT continued to yield high sustained MRD negativity, highlighting the importance of early deep responses. Additionally, the EMN26 trial showed that iberdomide maintenance after transplant provides durable responses with a favourable tolerability profile.</w:t>
      </w:r>
    </w:p>
    <w:p w14:paraId="2CB569BA" w14:textId="77777777" w:rsidR="00DF09AE" w:rsidRPr="00DF09AE" w:rsidRDefault="00DF09AE" w:rsidP="00DF09AE">
      <w:pPr>
        <w:spacing w:before="100" w:beforeAutospacing="1" w:after="100" w:afterAutospacing="1"/>
        <w:rPr>
          <w:rFonts w:ascii="Verdana" w:eastAsia="Times New Roman" w:hAnsi="Verdana" w:cs="Times New Roman"/>
          <w:color w:val="000000"/>
          <w:kern w:val="0"/>
          <w:sz w:val="18"/>
          <w:szCs w:val="18"/>
          <w:lang w:eastAsia="en-GB"/>
          <w14:ligatures w14:val="none"/>
        </w:rPr>
      </w:pPr>
      <w:r w:rsidRPr="00DF09AE">
        <w:rPr>
          <w:rFonts w:ascii="Verdana" w:eastAsia="Times New Roman" w:hAnsi="Verdana" w:cs="Times New Roman"/>
          <w:color w:val="000000"/>
          <w:kern w:val="0"/>
          <w:sz w:val="18"/>
          <w:szCs w:val="18"/>
          <w:lang w:eastAsia="en-GB"/>
          <w14:ligatures w14:val="none"/>
        </w:rPr>
        <w:t>The COBRA study underscored the value of mass-spectrometry-based MRD assessment in predicting long-term outcomes and distinguishing the performance of regimens such as KRd versus VRd. The randomised phase II evaluation of inobrodib (CCS1477) + Pd showed manageable safety and encouraging antimyeloma activity, supporting dose optimisation and continued development of this novel small-molecule therapy.</w:t>
      </w:r>
    </w:p>
    <w:p w14:paraId="46A5BD37" w14:textId="77777777" w:rsidR="00DF09AE" w:rsidRPr="00DF09AE" w:rsidRDefault="00DF09AE" w:rsidP="00DF09AE">
      <w:pPr>
        <w:spacing w:before="100" w:beforeAutospacing="1" w:after="100" w:afterAutospacing="1"/>
        <w:rPr>
          <w:rFonts w:ascii="Verdana" w:eastAsia="Times New Roman" w:hAnsi="Verdana" w:cs="Times New Roman"/>
          <w:color w:val="000000"/>
          <w:kern w:val="0"/>
          <w:sz w:val="18"/>
          <w:szCs w:val="18"/>
          <w:lang w:eastAsia="en-GB"/>
          <w14:ligatures w14:val="none"/>
        </w:rPr>
      </w:pPr>
      <w:r w:rsidRPr="00DF09AE">
        <w:rPr>
          <w:rFonts w:ascii="Verdana" w:eastAsia="Times New Roman" w:hAnsi="Verdana" w:cs="Times New Roman"/>
          <w:color w:val="000000"/>
          <w:kern w:val="0"/>
          <w:sz w:val="18"/>
          <w:szCs w:val="18"/>
          <w:lang w:eastAsia="en-GB"/>
          <w14:ligatures w14:val="none"/>
        </w:rPr>
        <w:t>Several CAR-T studies stood out. Updated results from the anitocel (iMMagine-1) trial showed deep and durable responses in heavily pretreated patients. Early first-in-human data from KLN-1010 (inMMyCAR) demonstrated that in vivo gene therapy capable of generating BCMA CAR-T cells within the patient can induce MRD-negative remissions, offering a potential future with simplified CAR-T manufacturing. The AZD0120 dual-target BCMA/CD19 CAR-T presented promising efficacy with manageable toxicity.</w:t>
      </w:r>
    </w:p>
    <w:p w14:paraId="5F58CD1B" w14:textId="77777777" w:rsidR="00DF09AE" w:rsidRPr="00DF09AE" w:rsidRDefault="00DF09AE" w:rsidP="00DF09AE">
      <w:pPr>
        <w:spacing w:before="100" w:beforeAutospacing="1" w:after="100" w:afterAutospacing="1"/>
        <w:rPr>
          <w:rFonts w:ascii="Verdana" w:eastAsia="Times New Roman" w:hAnsi="Verdana" w:cs="Times New Roman"/>
          <w:color w:val="000000"/>
          <w:kern w:val="0"/>
          <w:sz w:val="18"/>
          <w:szCs w:val="18"/>
          <w:lang w:eastAsia="en-GB"/>
          <w14:ligatures w14:val="none"/>
        </w:rPr>
      </w:pPr>
      <w:r w:rsidRPr="00DF09AE">
        <w:rPr>
          <w:rFonts w:ascii="Verdana" w:eastAsia="Times New Roman" w:hAnsi="Verdana" w:cs="Times New Roman"/>
          <w:color w:val="000000"/>
          <w:kern w:val="0"/>
          <w:sz w:val="18"/>
          <w:szCs w:val="18"/>
          <w:lang w:eastAsia="en-GB"/>
          <w14:ligatures w14:val="none"/>
        </w:rPr>
        <w:t>Important safety analyses presented strategies to improve outcomes with ciltacabtagene autoleucel, identifying modifiable factors associated with delayed neurotoxicity and non-relapse mortality. Predictors of early relapse after cilta-cel were also characterised, providing guidance for risk-adapted monitoring. Real-world CIBMTR data showed that even frail adults may achieve meaningful benefit from cilta-cel, though with a need for tailored supportive care.</w:t>
      </w:r>
    </w:p>
    <w:p w14:paraId="6CC174C0" w14:textId="77777777" w:rsidR="00DF09AE" w:rsidRPr="00DF09AE" w:rsidRDefault="00DF09AE" w:rsidP="00DF09AE">
      <w:pPr>
        <w:spacing w:before="100" w:beforeAutospacing="1" w:after="100" w:afterAutospacing="1"/>
        <w:rPr>
          <w:rFonts w:ascii="Verdana" w:eastAsia="Times New Roman" w:hAnsi="Verdana" w:cs="Times New Roman"/>
          <w:color w:val="000000"/>
          <w:kern w:val="0"/>
          <w:sz w:val="18"/>
          <w:szCs w:val="18"/>
          <w:lang w:eastAsia="en-GB"/>
          <w14:ligatures w14:val="none"/>
        </w:rPr>
      </w:pPr>
      <w:r w:rsidRPr="00DF09AE">
        <w:rPr>
          <w:rFonts w:ascii="Verdana" w:eastAsia="Times New Roman" w:hAnsi="Verdana" w:cs="Times New Roman"/>
          <w:color w:val="000000"/>
          <w:kern w:val="0"/>
          <w:sz w:val="18"/>
          <w:szCs w:val="18"/>
          <w:lang w:eastAsia="en-GB"/>
          <w14:ligatures w14:val="none"/>
        </w:rPr>
        <w:t>The STEM trial explored cevostamab consolidation after CAR-T, suggesting that sequential T-cell engagement may prolong remission.</w:t>
      </w:r>
    </w:p>
    <w:p w14:paraId="54A8D1D3" w14:textId="77777777" w:rsidR="00DF09AE" w:rsidRPr="00DF09AE" w:rsidRDefault="00DF09AE" w:rsidP="00DF09AE">
      <w:pPr>
        <w:spacing w:before="100" w:beforeAutospacing="1" w:after="100" w:afterAutospacing="1"/>
        <w:rPr>
          <w:rFonts w:ascii="Verdana" w:eastAsia="Times New Roman" w:hAnsi="Verdana" w:cs="Times New Roman"/>
          <w:color w:val="000000"/>
          <w:kern w:val="0"/>
          <w:sz w:val="18"/>
          <w:szCs w:val="18"/>
          <w:lang w:eastAsia="en-GB"/>
          <w14:ligatures w14:val="none"/>
        </w:rPr>
      </w:pPr>
      <w:r w:rsidRPr="00DF09AE">
        <w:rPr>
          <w:rFonts w:ascii="Verdana" w:eastAsia="Times New Roman" w:hAnsi="Verdana" w:cs="Times New Roman"/>
          <w:color w:val="000000"/>
          <w:kern w:val="0"/>
          <w:sz w:val="18"/>
          <w:szCs w:val="18"/>
          <w:lang w:eastAsia="en-GB"/>
          <w14:ligatures w14:val="none"/>
        </w:rPr>
        <w:lastRenderedPageBreak/>
        <w:t>First-in-human data for the IBI3003 trispecific antibody (GPRC5D × BCMA × CD3) demonstrated manageable safety and early antitumor activity. The LINKER-MM2 study showed that combining linvoseltamab with daratumumab or isatuximab yields promising results with acceptable safety. Updated findings for the next-generation trispecific JNJ-5322demonstrated potent responses in highly refractory disease.</w:t>
      </w:r>
    </w:p>
    <w:p w14:paraId="6B867107" w14:textId="77777777" w:rsidR="00DF09AE" w:rsidRPr="00DF09AE" w:rsidRDefault="00DF09AE" w:rsidP="00DF09AE">
      <w:pPr>
        <w:spacing w:before="100" w:beforeAutospacing="1" w:after="100" w:afterAutospacing="1"/>
        <w:rPr>
          <w:rFonts w:ascii="Verdana" w:eastAsia="Times New Roman" w:hAnsi="Verdana" w:cs="Times New Roman"/>
          <w:color w:val="000000"/>
          <w:kern w:val="0"/>
          <w:sz w:val="18"/>
          <w:szCs w:val="18"/>
          <w:lang w:eastAsia="en-GB"/>
          <w14:ligatures w14:val="none"/>
        </w:rPr>
      </w:pPr>
      <w:r w:rsidRPr="00DF09AE">
        <w:rPr>
          <w:rFonts w:ascii="Verdana" w:eastAsia="Times New Roman" w:hAnsi="Verdana" w:cs="Times New Roman"/>
          <w:color w:val="000000"/>
          <w:kern w:val="0"/>
          <w:sz w:val="18"/>
          <w:szCs w:val="18"/>
          <w:lang w:eastAsia="en-GB"/>
          <w14:ligatures w14:val="none"/>
        </w:rPr>
        <w:t>Finally, the phase 3 MAJESTEC-3 trial firmly established that teclistamab + daratumumab significantly outperforms standard daratumumab-based regimens (DPd/DVd), setting a new benchmark for treatment in relapsed/refractory myeloma.</w:t>
      </w:r>
    </w:p>
    <w:p w14:paraId="1FAB1088" w14:textId="77777777" w:rsidR="00DF09AE" w:rsidRPr="00DF09AE" w:rsidRDefault="00DF09AE" w:rsidP="00DF09AE">
      <w:pPr>
        <w:spacing w:before="100" w:beforeAutospacing="1" w:after="100" w:afterAutospacing="1"/>
        <w:rPr>
          <w:rFonts w:ascii="Verdana" w:eastAsia="Times New Roman" w:hAnsi="Verdana" w:cs="Times New Roman"/>
          <w:color w:val="000000"/>
          <w:kern w:val="0"/>
          <w:sz w:val="18"/>
          <w:szCs w:val="18"/>
          <w:lang w:eastAsia="en-GB"/>
          <w14:ligatures w14:val="none"/>
        </w:rPr>
      </w:pPr>
      <w:r w:rsidRPr="00DF09AE">
        <w:rPr>
          <w:rFonts w:ascii="Verdana" w:eastAsia="Times New Roman" w:hAnsi="Verdana" w:cs="Times New Roman"/>
          <w:color w:val="000000"/>
          <w:kern w:val="0"/>
          <w:sz w:val="18"/>
          <w:szCs w:val="18"/>
          <w:lang w:eastAsia="en-GB"/>
          <w14:ligatures w14:val="none"/>
        </w:rPr>
        <w:t>These insights will directly enhance my clinical decision-making and shape my future research priorities.</w:t>
      </w:r>
    </w:p>
    <w:p w14:paraId="00A5F5F8" w14:textId="77777777" w:rsidR="00DF09AE" w:rsidRPr="00DF09AE" w:rsidRDefault="00DF09AE" w:rsidP="00DF09AE">
      <w:pPr>
        <w:spacing w:before="100" w:beforeAutospacing="1" w:after="100" w:afterAutospacing="1"/>
        <w:rPr>
          <w:rFonts w:ascii="Verdana" w:eastAsia="Times New Roman" w:hAnsi="Verdana" w:cs="Times New Roman"/>
          <w:color w:val="000000"/>
          <w:kern w:val="0"/>
          <w:sz w:val="18"/>
          <w:szCs w:val="18"/>
          <w:lang w:eastAsia="en-GB"/>
          <w14:ligatures w14:val="none"/>
        </w:rPr>
      </w:pPr>
      <w:r w:rsidRPr="00DF09AE">
        <w:rPr>
          <w:rFonts w:ascii="Verdana" w:eastAsia="Times New Roman" w:hAnsi="Verdana" w:cs="Times New Roman"/>
          <w:color w:val="000000"/>
          <w:kern w:val="0"/>
          <w:sz w:val="18"/>
          <w:szCs w:val="18"/>
          <w:lang w:eastAsia="en-GB"/>
          <w14:ligatures w14:val="none"/>
        </w:rPr>
        <w:t>I am truly grateful to the UK Myeloma Society for supporting my participation at ASH and for enabling me to share my work with the global myeloma community. This experience has played a meaningful role in my growth as a clinician-scientist, and I look forward to contributing to the continued progress of the field.</w:t>
      </w:r>
    </w:p>
    <w:p w14:paraId="79D9E649" w14:textId="77777777" w:rsidR="00DF09AE" w:rsidRPr="00DF09AE" w:rsidRDefault="00DF09AE" w:rsidP="00DF09AE">
      <w:pPr>
        <w:spacing w:before="100" w:beforeAutospacing="1" w:after="100" w:afterAutospacing="1"/>
        <w:rPr>
          <w:rFonts w:ascii="Verdana" w:eastAsia="Times New Roman" w:hAnsi="Verdana" w:cs="Times New Roman"/>
          <w:color w:val="000000"/>
          <w:kern w:val="0"/>
          <w:sz w:val="18"/>
          <w:szCs w:val="18"/>
          <w:lang w:eastAsia="en-GB"/>
          <w14:ligatures w14:val="none"/>
        </w:rPr>
      </w:pPr>
    </w:p>
    <w:p w14:paraId="37646B64" w14:textId="77777777" w:rsidR="00BC6A00" w:rsidRPr="00DF09AE" w:rsidRDefault="00BC6A00" w:rsidP="00DF09AE">
      <w:pPr>
        <w:rPr>
          <w:rFonts w:ascii="Verdana" w:hAnsi="Verdana"/>
          <w:sz w:val="18"/>
          <w:szCs w:val="18"/>
        </w:rPr>
      </w:pPr>
    </w:p>
    <w:sectPr w:rsidR="00BC6A00" w:rsidRPr="00DF09A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8"/>
  <w:hideSpellingErrors/>
  <w:hideGrammatical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1DAB"/>
    <w:rsid w:val="0006317B"/>
    <w:rsid w:val="00225905"/>
    <w:rsid w:val="00581E7A"/>
    <w:rsid w:val="00781DAB"/>
    <w:rsid w:val="007E1753"/>
    <w:rsid w:val="0096600D"/>
    <w:rsid w:val="00AD3DCB"/>
    <w:rsid w:val="00B07F61"/>
    <w:rsid w:val="00B270A5"/>
    <w:rsid w:val="00BC6A00"/>
    <w:rsid w:val="00CF20B9"/>
    <w:rsid w:val="00DF09A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7F148F"/>
  <w15:chartTrackingRefBased/>
  <w15:docId w15:val="{8957CFE1-A50F-534B-B388-76088593B9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781DAB"/>
    <w:pPr>
      <w:spacing w:before="100" w:beforeAutospacing="1" w:after="100" w:afterAutospacing="1"/>
      <w:outlineLvl w:val="1"/>
    </w:pPr>
    <w:rPr>
      <w:rFonts w:ascii="Times New Roman" w:eastAsia="Times New Roman" w:hAnsi="Times New Roman" w:cs="Times New Roman"/>
      <w:b/>
      <w:bCs/>
      <w:kern w:val="0"/>
      <w:sz w:val="36"/>
      <w:szCs w:val="36"/>
      <w:lang w:eastAsia="en-GB"/>
      <w14:ligatures w14:val="none"/>
    </w:rPr>
  </w:style>
  <w:style w:type="paragraph" w:styleId="Heading3">
    <w:name w:val="heading 3"/>
    <w:basedOn w:val="Normal"/>
    <w:link w:val="Heading3Char"/>
    <w:uiPriority w:val="9"/>
    <w:qFormat/>
    <w:rsid w:val="00781DAB"/>
    <w:pPr>
      <w:spacing w:before="100" w:beforeAutospacing="1" w:after="100" w:afterAutospacing="1"/>
      <w:outlineLvl w:val="2"/>
    </w:pPr>
    <w:rPr>
      <w:rFonts w:ascii="Times New Roman" w:eastAsia="Times New Roman" w:hAnsi="Times New Roman" w:cs="Times New Roman"/>
      <w:b/>
      <w:bCs/>
      <w:kern w:val="0"/>
      <w:sz w:val="27"/>
      <w:szCs w:val="27"/>
      <w:lang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81DAB"/>
    <w:pPr>
      <w:spacing w:before="100" w:beforeAutospacing="1" w:after="100" w:afterAutospacing="1"/>
    </w:pPr>
    <w:rPr>
      <w:rFonts w:ascii="Times New Roman" w:eastAsia="Times New Roman" w:hAnsi="Times New Roman" w:cs="Times New Roman"/>
      <w:kern w:val="0"/>
      <w:lang w:eastAsia="en-GB"/>
      <w14:ligatures w14:val="none"/>
    </w:rPr>
  </w:style>
  <w:style w:type="character" w:customStyle="1" w:styleId="Heading2Char">
    <w:name w:val="Heading 2 Char"/>
    <w:basedOn w:val="DefaultParagraphFont"/>
    <w:link w:val="Heading2"/>
    <w:uiPriority w:val="9"/>
    <w:rsid w:val="00781DAB"/>
    <w:rPr>
      <w:rFonts w:ascii="Times New Roman" w:eastAsia="Times New Roman" w:hAnsi="Times New Roman" w:cs="Times New Roman"/>
      <w:b/>
      <w:bCs/>
      <w:kern w:val="0"/>
      <w:sz w:val="36"/>
      <w:szCs w:val="36"/>
      <w:lang w:eastAsia="en-GB"/>
      <w14:ligatures w14:val="none"/>
    </w:rPr>
  </w:style>
  <w:style w:type="character" w:customStyle="1" w:styleId="Heading3Char">
    <w:name w:val="Heading 3 Char"/>
    <w:basedOn w:val="DefaultParagraphFont"/>
    <w:link w:val="Heading3"/>
    <w:uiPriority w:val="9"/>
    <w:rsid w:val="00781DAB"/>
    <w:rPr>
      <w:rFonts w:ascii="Times New Roman" w:eastAsia="Times New Roman" w:hAnsi="Times New Roman" w:cs="Times New Roman"/>
      <w:b/>
      <w:bCs/>
      <w:kern w:val="0"/>
      <w:sz w:val="27"/>
      <w:szCs w:val="27"/>
      <w:lang w:eastAsia="en-GB"/>
      <w14:ligatures w14:val="none"/>
    </w:rPr>
  </w:style>
  <w:style w:type="character" w:styleId="Strong">
    <w:name w:val="Strong"/>
    <w:basedOn w:val="DefaultParagraphFont"/>
    <w:uiPriority w:val="22"/>
    <w:qFormat/>
    <w:rsid w:val="00781DAB"/>
    <w:rPr>
      <w:b/>
      <w:bCs/>
    </w:rPr>
  </w:style>
  <w:style w:type="character" w:customStyle="1" w:styleId="apple-converted-space">
    <w:name w:val="apple-converted-space"/>
    <w:basedOn w:val="DefaultParagraphFont"/>
    <w:rsid w:val="00DF09AE"/>
  </w:style>
  <w:style w:type="character" w:styleId="Emphasis">
    <w:name w:val="Emphasis"/>
    <w:basedOn w:val="DefaultParagraphFont"/>
    <w:uiPriority w:val="20"/>
    <w:qFormat/>
    <w:rsid w:val="00DF09A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1166032">
      <w:bodyDiv w:val="1"/>
      <w:marLeft w:val="0"/>
      <w:marRight w:val="0"/>
      <w:marTop w:val="0"/>
      <w:marBottom w:val="0"/>
      <w:divBdr>
        <w:top w:val="none" w:sz="0" w:space="0" w:color="auto"/>
        <w:left w:val="none" w:sz="0" w:space="0" w:color="auto"/>
        <w:bottom w:val="none" w:sz="0" w:space="0" w:color="auto"/>
        <w:right w:val="none" w:sz="0" w:space="0" w:color="auto"/>
      </w:divBdr>
    </w:div>
    <w:div w:id="383675377">
      <w:bodyDiv w:val="1"/>
      <w:marLeft w:val="0"/>
      <w:marRight w:val="0"/>
      <w:marTop w:val="0"/>
      <w:marBottom w:val="0"/>
      <w:divBdr>
        <w:top w:val="none" w:sz="0" w:space="0" w:color="auto"/>
        <w:left w:val="none" w:sz="0" w:space="0" w:color="auto"/>
        <w:bottom w:val="none" w:sz="0" w:space="0" w:color="auto"/>
        <w:right w:val="none" w:sz="0" w:space="0" w:color="auto"/>
      </w:divBdr>
    </w:div>
    <w:div w:id="961229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782</Words>
  <Characters>4461</Characters>
  <Application>Microsoft Office Word</Application>
  <DocSecurity>4</DocSecurity>
  <Lines>37</Lines>
  <Paragraphs>10</Paragraphs>
  <ScaleCrop>false</ScaleCrop>
  <Company/>
  <LinksUpToDate>false</LinksUpToDate>
  <CharactersWithSpaces>5233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Berrin Balik</dc:creator>
  <cp:keywords/>
  <dc:description/>
  <cp:lastModifiedBy>Wendy Notowicz</cp:lastModifiedBy>
  <cp:revision>2</cp:revision>
  <dcterms:created xsi:type="dcterms:W3CDTF">2025-12-15T10:58:00Z</dcterms:created>
  <dcterms:modified xsi:type="dcterms:W3CDTF">2025-12-15T10:58:00Z</dcterms:modified>
</cp:coreProperties>
</file>