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255AEE" w14:textId="433FFA8D" w:rsidR="00EF6D43" w:rsidRDefault="00EF6D43" w:rsidP="00A874E5">
      <w:pPr>
        <w:pStyle w:val="NormalWeb"/>
        <w:rPr>
          <w:rStyle w:val="selected"/>
          <w:rFonts w:eastAsiaTheme="majorEastAsia"/>
          <w:b/>
          <w:bCs/>
        </w:rPr>
      </w:pPr>
      <w:r w:rsidRPr="00EF6D43">
        <w:rPr>
          <w:rStyle w:val="selected"/>
          <w:rFonts w:eastAsiaTheme="majorEastAsia"/>
          <w:b/>
          <w:bCs/>
        </w:rPr>
        <w:t>AI-based analysis reveals novel blood protein biomarkers for predicting cardiac amyloidosis approximately a decade early: a UK Biobank study</w:t>
      </w:r>
    </w:p>
    <w:p w14:paraId="0AA7DA76" w14:textId="665997F6" w:rsidR="007150AF" w:rsidRPr="007150AF" w:rsidRDefault="007150AF" w:rsidP="00286DE1">
      <w:pPr>
        <w:pStyle w:val="NormalWeb"/>
        <w:jc w:val="both"/>
        <w:rPr>
          <w:sz w:val="21"/>
          <w:szCs w:val="21"/>
        </w:rPr>
      </w:pPr>
      <w:r w:rsidRPr="007150AF">
        <w:rPr>
          <w:sz w:val="21"/>
          <w:szCs w:val="21"/>
        </w:rPr>
        <w:t>Seyed Alireza Hasheminasab</w:t>
      </w:r>
      <w:r w:rsidRPr="007150AF">
        <w:rPr>
          <w:sz w:val="21"/>
          <w:szCs w:val="21"/>
          <w:vertAlign w:val="superscript"/>
        </w:rPr>
        <w:t>1</w:t>
      </w:r>
      <w:r w:rsidRPr="007150AF">
        <w:rPr>
          <w:sz w:val="21"/>
          <w:szCs w:val="21"/>
        </w:rPr>
        <w:t>, PhD, Berrin Balik</w:t>
      </w:r>
      <w:r w:rsidRPr="007150AF">
        <w:rPr>
          <w:sz w:val="21"/>
          <w:szCs w:val="21"/>
          <w:vertAlign w:val="superscript"/>
        </w:rPr>
        <w:t>1</w:t>
      </w:r>
      <w:r w:rsidRPr="007150AF">
        <w:rPr>
          <w:sz w:val="21"/>
          <w:szCs w:val="21"/>
        </w:rPr>
        <w:t xml:space="preserve">, MD, </w:t>
      </w:r>
      <w:r w:rsidR="00286DE1" w:rsidRPr="00286DE1">
        <w:rPr>
          <w:sz w:val="21"/>
          <w:szCs w:val="21"/>
        </w:rPr>
        <w:t>Josh Fieggen</w:t>
      </w:r>
      <w:r w:rsidR="00286DE1">
        <w:rPr>
          <w:sz w:val="21"/>
          <w:szCs w:val="21"/>
          <w:vertAlign w:val="superscript"/>
        </w:rPr>
        <w:t>2</w:t>
      </w:r>
      <w:r w:rsidR="00286DE1" w:rsidRPr="00286DE1">
        <w:rPr>
          <w:sz w:val="21"/>
          <w:szCs w:val="21"/>
        </w:rPr>
        <w:t>, MD</w:t>
      </w:r>
      <w:r w:rsidR="00286DE1">
        <w:t>,</w:t>
      </w:r>
      <w:r w:rsidR="00286DE1" w:rsidRPr="007150AF">
        <w:rPr>
          <w:sz w:val="21"/>
          <w:szCs w:val="21"/>
        </w:rPr>
        <w:t xml:space="preserve"> </w:t>
      </w:r>
      <w:r w:rsidR="00EE16ED">
        <w:rPr>
          <w:sz w:val="21"/>
          <w:szCs w:val="21"/>
        </w:rPr>
        <w:t>Lei Clifton</w:t>
      </w:r>
      <w:r w:rsidR="00AE465B">
        <w:rPr>
          <w:sz w:val="21"/>
          <w:szCs w:val="21"/>
          <w:vertAlign w:val="superscript"/>
        </w:rPr>
        <w:t>3</w:t>
      </w:r>
      <w:r w:rsidR="00EE16ED">
        <w:rPr>
          <w:sz w:val="21"/>
          <w:szCs w:val="21"/>
        </w:rPr>
        <w:t xml:space="preserve">, PhD, </w:t>
      </w:r>
      <w:r w:rsidRPr="007150AF">
        <w:rPr>
          <w:sz w:val="21"/>
          <w:szCs w:val="21"/>
        </w:rPr>
        <w:t>Nikant Sabharwal</w:t>
      </w:r>
      <w:r w:rsidR="00AE465B">
        <w:rPr>
          <w:sz w:val="21"/>
          <w:szCs w:val="21"/>
          <w:vertAlign w:val="superscript"/>
        </w:rPr>
        <w:t>4</w:t>
      </w:r>
      <w:r w:rsidRPr="007150AF">
        <w:rPr>
          <w:sz w:val="21"/>
          <w:szCs w:val="21"/>
        </w:rPr>
        <w:t xml:space="preserve">, MD, PhD, </w:t>
      </w:r>
      <w:r w:rsidR="00EE16ED" w:rsidRPr="007150AF">
        <w:rPr>
          <w:sz w:val="21"/>
          <w:szCs w:val="21"/>
        </w:rPr>
        <w:t>Karthik Ramasamy</w:t>
      </w:r>
      <w:r w:rsidR="00AE465B">
        <w:rPr>
          <w:sz w:val="21"/>
          <w:szCs w:val="21"/>
          <w:vertAlign w:val="superscript"/>
        </w:rPr>
        <w:t>5</w:t>
      </w:r>
      <w:r w:rsidR="00EE16ED" w:rsidRPr="007150AF">
        <w:rPr>
          <w:sz w:val="21"/>
          <w:szCs w:val="21"/>
        </w:rPr>
        <w:t xml:space="preserve">, MD, PhD, </w:t>
      </w:r>
      <w:r w:rsidRPr="007150AF">
        <w:rPr>
          <w:sz w:val="21"/>
          <w:szCs w:val="21"/>
        </w:rPr>
        <w:t>Ashutosh D. Wechalekar</w:t>
      </w:r>
      <w:r w:rsidR="00AE465B">
        <w:rPr>
          <w:sz w:val="21"/>
          <w:szCs w:val="21"/>
          <w:vertAlign w:val="superscript"/>
        </w:rPr>
        <w:t>6</w:t>
      </w:r>
      <w:r w:rsidRPr="007150AF">
        <w:rPr>
          <w:sz w:val="21"/>
          <w:szCs w:val="21"/>
        </w:rPr>
        <w:t xml:space="preserve">, </w:t>
      </w:r>
      <w:r w:rsidR="00256C19">
        <w:rPr>
          <w:sz w:val="21"/>
          <w:szCs w:val="21"/>
        </w:rPr>
        <w:t>FRCPath, DM</w:t>
      </w:r>
      <w:r w:rsidRPr="007150AF">
        <w:rPr>
          <w:sz w:val="21"/>
          <w:szCs w:val="21"/>
        </w:rPr>
        <w:t>, Anjan Thakurta</w:t>
      </w:r>
      <w:r w:rsidRPr="007150AF">
        <w:rPr>
          <w:sz w:val="21"/>
          <w:szCs w:val="21"/>
          <w:vertAlign w:val="superscript"/>
        </w:rPr>
        <w:t>1</w:t>
      </w:r>
      <w:r w:rsidRPr="007150AF">
        <w:rPr>
          <w:sz w:val="21"/>
          <w:szCs w:val="21"/>
        </w:rPr>
        <w:t>, PhD</w:t>
      </w:r>
    </w:p>
    <w:p w14:paraId="359014A4" w14:textId="56ADC9A0" w:rsidR="007150AF" w:rsidRPr="007150AF" w:rsidRDefault="007150AF" w:rsidP="00286DE1">
      <w:pPr>
        <w:pStyle w:val="NormalWeb"/>
        <w:jc w:val="both"/>
        <w:rPr>
          <w:sz w:val="21"/>
          <w:szCs w:val="21"/>
        </w:rPr>
      </w:pPr>
      <w:r>
        <w:rPr>
          <w:sz w:val="21"/>
          <w:szCs w:val="21"/>
          <w:vertAlign w:val="superscript"/>
        </w:rPr>
        <w:t xml:space="preserve">1 </w:t>
      </w:r>
      <w:r w:rsidRPr="007150AF">
        <w:rPr>
          <w:sz w:val="21"/>
          <w:szCs w:val="21"/>
        </w:rPr>
        <w:t>Oxford Translational Myeloma Centre (OTMC), Nuffield Department of Orthopedics, Rheumatology and Musculoskeletal Sciences, University of Oxford, Oxford, UK</w:t>
      </w:r>
      <w:r w:rsidR="00286DE1">
        <w:rPr>
          <w:sz w:val="21"/>
          <w:szCs w:val="21"/>
        </w:rPr>
        <w:t xml:space="preserve"> </w:t>
      </w:r>
      <w:r w:rsidR="00286DE1">
        <w:rPr>
          <w:sz w:val="21"/>
          <w:szCs w:val="21"/>
          <w:vertAlign w:val="superscript"/>
        </w:rPr>
        <w:t xml:space="preserve">2 </w:t>
      </w:r>
      <w:r w:rsidR="00286DE1" w:rsidRPr="00286DE1">
        <w:rPr>
          <w:sz w:val="21"/>
          <w:szCs w:val="21"/>
        </w:rPr>
        <w:t>Computational Health Informatics (CHI) Lab, Institute of Biomedical Engineering, Department of Engineering Sciences, University of Oxford, Oxford, UK</w:t>
      </w:r>
      <w:r w:rsidR="00AE465B">
        <w:rPr>
          <w:sz w:val="21"/>
          <w:szCs w:val="21"/>
        </w:rPr>
        <w:t xml:space="preserve"> </w:t>
      </w:r>
      <w:r w:rsidR="00AE465B">
        <w:rPr>
          <w:sz w:val="21"/>
          <w:szCs w:val="21"/>
          <w:vertAlign w:val="superscript"/>
        </w:rPr>
        <w:t xml:space="preserve">3 </w:t>
      </w:r>
      <w:r w:rsidR="00AE465B" w:rsidRPr="00AE465B">
        <w:rPr>
          <w:sz w:val="21"/>
          <w:szCs w:val="21"/>
        </w:rPr>
        <w:t>Nuffield Department of Primary Care Health Sciences, University of Oxford</w:t>
      </w:r>
      <w:r w:rsidR="00AE465B" w:rsidRPr="00286DE1">
        <w:rPr>
          <w:sz w:val="21"/>
          <w:szCs w:val="21"/>
        </w:rPr>
        <w:t>, Oxford, UK</w:t>
      </w:r>
      <w:r w:rsidR="00BC306B">
        <w:rPr>
          <w:sz w:val="21"/>
          <w:szCs w:val="21"/>
        </w:rPr>
        <w:t xml:space="preserve"> </w:t>
      </w:r>
      <w:r w:rsidR="00AE465B">
        <w:rPr>
          <w:sz w:val="21"/>
          <w:szCs w:val="21"/>
          <w:vertAlign w:val="superscript"/>
        </w:rPr>
        <w:t>4</w:t>
      </w:r>
      <w:r w:rsidR="00BC306B">
        <w:rPr>
          <w:sz w:val="21"/>
          <w:szCs w:val="21"/>
          <w:vertAlign w:val="superscript"/>
        </w:rPr>
        <w:t xml:space="preserve"> </w:t>
      </w:r>
      <w:r w:rsidRPr="007150AF">
        <w:rPr>
          <w:sz w:val="21"/>
          <w:szCs w:val="21"/>
        </w:rPr>
        <w:t>Cardiology Department, Oxford University Hospitals NHS Foundation Trust, Oxford, UK</w:t>
      </w:r>
      <w:r w:rsidR="00EE16ED">
        <w:rPr>
          <w:sz w:val="21"/>
          <w:szCs w:val="21"/>
        </w:rPr>
        <w:t xml:space="preserve"> </w:t>
      </w:r>
      <w:r w:rsidR="00AE465B">
        <w:rPr>
          <w:sz w:val="21"/>
          <w:szCs w:val="21"/>
          <w:vertAlign w:val="superscript"/>
        </w:rPr>
        <w:t>5</w:t>
      </w:r>
      <w:r w:rsidR="00EE16ED">
        <w:rPr>
          <w:sz w:val="21"/>
          <w:szCs w:val="21"/>
          <w:vertAlign w:val="superscript"/>
        </w:rPr>
        <w:t xml:space="preserve"> </w:t>
      </w:r>
      <w:r w:rsidR="00EE16ED" w:rsidRPr="007150AF">
        <w:rPr>
          <w:sz w:val="21"/>
          <w:szCs w:val="21"/>
        </w:rPr>
        <w:t>Oxford University Hospitals NHS Trust, Radcliffe Department of Medicine, Oxford University, Oxford, UK</w:t>
      </w:r>
      <w:r w:rsidR="00BC306B">
        <w:rPr>
          <w:sz w:val="21"/>
          <w:szCs w:val="21"/>
        </w:rPr>
        <w:t xml:space="preserve"> </w:t>
      </w:r>
      <w:r w:rsidR="00AE465B">
        <w:rPr>
          <w:sz w:val="21"/>
          <w:szCs w:val="21"/>
          <w:vertAlign w:val="superscript"/>
        </w:rPr>
        <w:t>6</w:t>
      </w:r>
      <w:r>
        <w:rPr>
          <w:sz w:val="21"/>
          <w:szCs w:val="21"/>
          <w:vertAlign w:val="superscript"/>
        </w:rPr>
        <w:t xml:space="preserve"> </w:t>
      </w:r>
      <w:r w:rsidRPr="007150AF">
        <w:rPr>
          <w:sz w:val="21"/>
          <w:szCs w:val="21"/>
        </w:rPr>
        <w:t>National Amyloidosis Centre, University College London</w:t>
      </w:r>
      <w:r w:rsidR="00B56BB0">
        <w:rPr>
          <w:sz w:val="21"/>
          <w:szCs w:val="21"/>
        </w:rPr>
        <w:t>,</w:t>
      </w:r>
      <w:r w:rsidRPr="007150AF">
        <w:rPr>
          <w:sz w:val="21"/>
          <w:szCs w:val="21"/>
        </w:rPr>
        <w:t xml:space="preserve"> London, United Kingdom</w:t>
      </w:r>
    </w:p>
    <w:p w14:paraId="5D16F058" w14:textId="4D7933A3" w:rsidR="00A874E5" w:rsidRDefault="00A874E5" w:rsidP="00A874E5">
      <w:pPr>
        <w:pStyle w:val="NormalWeb"/>
        <w:jc w:val="both"/>
      </w:pPr>
      <w:r>
        <w:rPr>
          <w:rStyle w:val="selected"/>
          <w:rFonts w:eastAsiaTheme="majorEastAsia"/>
          <w:b/>
          <w:bCs/>
        </w:rPr>
        <w:t>Background:</w:t>
      </w:r>
      <w:r>
        <w:rPr>
          <w:rStyle w:val="selected"/>
          <w:rFonts w:eastAsiaTheme="majorEastAsia"/>
        </w:rPr>
        <w:t xml:space="preserve"> </w:t>
      </w:r>
      <w:r w:rsidR="002E56E4" w:rsidRPr="002E56E4">
        <w:t>Amyloidos</w:t>
      </w:r>
      <w:r w:rsidR="00256C19">
        <w:t>e</w:t>
      </w:r>
      <w:r w:rsidR="002E56E4" w:rsidRPr="002E56E4">
        <w:t xml:space="preserve">s </w:t>
      </w:r>
      <w:r w:rsidR="00256C19">
        <w:t>are</w:t>
      </w:r>
      <w:r w:rsidR="00256C19" w:rsidRPr="002E56E4">
        <w:t xml:space="preserve"> </w:t>
      </w:r>
      <w:r w:rsidR="002E56E4" w:rsidRPr="002E56E4">
        <w:t xml:space="preserve">a complex debilitating group of diseases characterised by the extracellular deposition of abnormal amyloid fibrils, leading to progressive organ dysfunction. </w:t>
      </w:r>
      <w:r w:rsidR="00256C19">
        <w:t xml:space="preserve">With limited reversibility of end organ failure, accurate early </w:t>
      </w:r>
      <w:r w:rsidR="002E56E4" w:rsidRPr="002E56E4">
        <w:t xml:space="preserve">prediction of disease onset </w:t>
      </w:r>
      <w:r w:rsidR="00256C19">
        <w:t xml:space="preserve">before clinically apparent symptoms </w:t>
      </w:r>
      <w:r w:rsidR="002E56E4" w:rsidRPr="002E56E4">
        <w:t xml:space="preserve">is critical for timely intervention and improved outcomes but remains challenging. </w:t>
      </w:r>
      <w:r w:rsidR="00256C19">
        <w:t xml:space="preserve">We report here use of </w:t>
      </w:r>
      <w:r w:rsidR="002E56E4" w:rsidRPr="002E56E4">
        <w:t>novel, non-invasive biomarkers</w:t>
      </w:r>
      <w:r w:rsidR="00256C19">
        <w:t xml:space="preserve"> by l</w:t>
      </w:r>
      <w:r w:rsidR="002E56E4" w:rsidRPr="002E56E4">
        <w:t xml:space="preserve">arge-scale proteomic profiling </w:t>
      </w:r>
      <w:r w:rsidR="00256C19">
        <w:t>as</w:t>
      </w:r>
      <w:r w:rsidR="002E56E4" w:rsidRPr="002E56E4">
        <w:t xml:space="preserve"> promising approach for </w:t>
      </w:r>
      <w:r w:rsidR="00256C19">
        <w:t xml:space="preserve">early </w:t>
      </w:r>
      <w:r w:rsidR="002E56E4" w:rsidRPr="002E56E4">
        <w:t>identification.</w:t>
      </w:r>
    </w:p>
    <w:p w14:paraId="540F4738" w14:textId="2D2AB4E5" w:rsidR="00A874E5" w:rsidRDefault="00A874E5" w:rsidP="00A874E5">
      <w:pPr>
        <w:pStyle w:val="NormalWeb"/>
        <w:jc w:val="both"/>
      </w:pPr>
      <w:r>
        <w:rPr>
          <w:rStyle w:val="selected"/>
          <w:rFonts w:eastAsiaTheme="majorEastAsia"/>
          <w:b/>
          <w:bCs/>
        </w:rPr>
        <w:t>Aims:</w:t>
      </w:r>
      <w:r>
        <w:rPr>
          <w:rStyle w:val="selected"/>
          <w:rFonts w:eastAsiaTheme="majorEastAsia"/>
        </w:rPr>
        <w:t xml:space="preserve"> </w:t>
      </w:r>
      <w:r w:rsidR="00256C19">
        <w:rPr>
          <w:rStyle w:val="selected"/>
          <w:rFonts w:eastAsiaTheme="majorEastAsia"/>
        </w:rPr>
        <w:t>T</w:t>
      </w:r>
      <w:r>
        <w:rPr>
          <w:rStyle w:val="selected"/>
          <w:rFonts w:eastAsiaTheme="majorEastAsia"/>
        </w:rPr>
        <w:t xml:space="preserve">o identify and characterize protein biomarkers associated with amyloidosis using </w:t>
      </w:r>
      <w:r w:rsidR="00315FB3">
        <w:rPr>
          <w:rStyle w:val="selected"/>
          <w:rFonts w:eastAsiaTheme="majorEastAsia"/>
        </w:rPr>
        <w:t>statistical and machine learning approaches</w:t>
      </w:r>
      <w:r>
        <w:rPr>
          <w:rStyle w:val="selected"/>
          <w:rFonts w:eastAsiaTheme="majorEastAsia"/>
        </w:rPr>
        <w:t xml:space="preserve"> </w:t>
      </w:r>
      <w:r w:rsidR="00256C19">
        <w:rPr>
          <w:rStyle w:val="selected"/>
          <w:rFonts w:eastAsiaTheme="majorEastAsia"/>
        </w:rPr>
        <w:t>from the UK Biobank (as serum repository n=</w:t>
      </w:r>
      <w:r w:rsidR="001B2673">
        <w:rPr>
          <w:rStyle w:val="selected"/>
          <w:rFonts w:eastAsiaTheme="majorEastAsia"/>
        </w:rPr>
        <w:t>2</w:t>
      </w:r>
      <w:r w:rsidR="00826A74">
        <w:rPr>
          <w:rStyle w:val="selected"/>
          <w:rFonts w:eastAsiaTheme="majorEastAsia"/>
        </w:rPr>
        <w:t>,</w:t>
      </w:r>
      <w:r w:rsidR="001B2673">
        <w:rPr>
          <w:rStyle w:val="selected"/>
          <w:rFonts w:eastAsiaTheme="majorEastAsia"/>
        </w:rPr>
        <w:t>923</w:t>
      </w:r>
      <w:r w:rsidR="00256C19">
        <w:rPr>
          <w:rStyle w:val="selected"/>
          <w:rFonts w:eastAsiaTheme="majorEastAsia"/>
        </w:rPr>
        <w:t>)</w:t>
      </w:r>
      <w:r>
        <w:rPr>
          <w:rStyle w:val="selected"/>
          <w:rFonts w:eastAsiaTheme="majorEastAsia"/>
        </w:rPr>
        <w:t>, and to initiate cross-platform validation of key candidates in real-world patient samples.</w:t>
      </w:r>
    </w:p>
    <w:p w14:paraId="43FCEBD9" w14:textId="4660A467" w:rsidR="00F56B19" w:rsidRDefault="00A874E5" w:rsidP="0044464C">
      <w:pPr>
        <w:pStyle w:val="NormalWeb"/>
        <w:jc w:val="both"/>
        <w:rPr>
          <w:rStyle w:val="selected"/>
          <w:rFonts w:eastAsiaTheme="majorEastAsia"/>
        </w:rPr>
      </w:pPr>
      <w:r>
        <w:rPr>
          <w:rStyle w:val="selected"/>
          <w:rFonts w:eastAsiaTheme="majorEastAsia"/>
          <w:b/>
          <w:bCs/>
        </w:rPr>
        <w:t>Methods:</w:t>
      </w:r>
      <w:r>
        <w:rPr>
          <w:rStyle w:val="selected"/>
          <w:rFonts w:eastAsiaTheme="majorEastAsia"/>
        </w:rPr>
        <w:t xml:space="preserve"> </w:t>
      </w:r>
      <w:r w:rsidR="00D426A1">
        <w:rPr>
          <w:rStyle w:val="selected"/>
          <w:rFonts w:eastAsiaTheme="majorEastAsia"/>
        </w:rPr>
        <w:t xml:space="preserve">Of </w:t>
      </w:r>
      <w:r w:rsidR="00F50A13">
        <w:rPr>
          <w:rStyle w:val="selected"/>
          <w:rFonts w:eastAsiaTheme="majorEastAsia"/>
        </w:rPr>
        <w:t>502,128</w:t>
      </w:r>
      <w:r w:rsidR="00D426A1">
        <w:rPr>
          <w:rStyle w:val="selected"/>
          <w:rFonts w:eastAsiaTheme="majorEastAsia"/>
        </w:rPr>
        <w:t xml:space="preserve"> total participants in the UK biobank we identified 422 individuals (</w:t>
      </w:r>
      <w:r w:rsidR="00F50A13">
        <w:rPr>
          <w:rStyle w:val="selected"/>
          <w:rFonts w:eastAsiaTheme="majorEastAsia"/>
        </w:rPr>
        <w:t>0.08</w:t>
      </w:r>
      <w:r w:rsidR="00D426A1">
        <w:rPr>
          <w:rStyle w:val="selected"/>
          <w:rFonts w:eastAsiaTheme="majorEastAsia"/>
        </w:rPr>
        <w:t>%) with amyloidosis. We restricted detail</w:t>
      </w:r>
      <w:r w:rsidRPr="00A874E5">
        <w:rPr>
          <w:rStyle w:val="selected"/>
          <w:rFonts w:eastAsiaTheme="majorEastAsia"/>
        </w:rPr>
        <w:t xml:space="preserve"> analy</w:t>
      </w:r>
      <w:r w:rsidR="00D426A1">
        <w:rPr>
          <w:rStyle w:val="selected"/>
          <w:rFonts w:eastAsiaTheme="majorEastAsia"/>
        </w:rPr>
        <w:t xml:space="preserve">sis to </w:t>
      </w:r>
      <w:r w:rsidR="00D426A1" w:rsidRPr="00A874E5">
        <w:rPr>
          <w:rStyle w:val="selected"/>
          <w:rFonts w:eastAsiaTheme="majorEastAsia"/>
        </w:rPr>
        <w:t xml:space="preserve">53,013 participants </w:t>
      </w:r>
      <w:r w:rsidR="00D426A1">
        <w:rPr>
          <w:rStyle w:val="selected"/>
          <w:rFonts w:eastAsiaTheme="majorEastAsia"/>
        </w:rPr>
        <w:t xml:space="preserve">with full </w:t>
      </w:r>
      <w:r w:rsidRPr="00A874E5">
        <w:rPr>
          <w:rStyle w:val="selected"/>
          <w:rFonts w:eastAsiaTheme="majorEastAsia"/>
        </w:rPr>
        <w:t xml:space="preserve">proteomics data </w:t>
      </w:r>
      <w:r w:rsidR="00D426A1">
        <w:rPr>
          <w:rStyle w:val="selected"/>
          <w:rFonts w:eastAsiaTheme="majorEastAsia"/>
        </w:rPr>
        <w:t>of which</w:t>
      </w:r>
      <w:r w:rsidR="00256C19">
        <w:rPr>
          <w:rStyle w:val="selected"/>
          <w:rFonts w:eastAsiaTheme="majorEastAsia"/>
        </w:rPr>
        <w:t xml:space="preserve"> </w:t>
      </w:r>
      <w:r w:rsidRPr="00A874E5">
        <w:rPr>
          <w:rStyle w:val="selected"/>
          <w:rFonts w:eastAsiaTheme="majorEastAsia"/>
        </w:rPr>
        <w:t xml:space="preserve">47,849 </w:t>
      </w:r>
      <w:r w:rsidR="00D426A1">
        <w:rPr>
          <w:rStyle w:val="selected"/>
          <w:rFonts w:eastAsiaTheme="majorEastAsia"/>
        </w:rPr>
        <w:t xml:space="preserve">had data </w:t>
      </w:r>
      <w:r w:rsidRPr="00A874E5">
        <w:rPr>
          <w:rStyle w:val="selected"/>
          <w:rFonts w:eastAsiaTheme="majorEastAsia"/>
        </w:rPr>
        <w:t xml:space="preserve">linked hospital records. After excluding individuals with a diagnosis of amyloidosis prior to the index date (defined as the date of protein assessment), we identified 47,782 controls and 61 </w:t>
      </w:r>
      <w:r w:rsidR="00256C19" w:rsidRPr="00A874E5">
        <w:rPr>
          <w:rStyle w:val="selected"/>
          <w:rFonts w:eastAsiaTheme="majorEastAsia"/>
        </w:rPr>
        <w:t>cases</w:t>
      </w:r>
      <w:r w:rsidR="00256C19">
        <w:rPr>
          <w:rStyle w:val="selected"/>
          <w:rFonts w:eastAsiaTheme="majorEastAsia"/>
        </w:rPr>
        <w:t xml:space="preserve"> </w:t>
      </w:r>
      <w:r w:rsidR="00D426A1">
        <w:rPr>
          <w:rStyle w:val="selected"/>
          <w:rFonts w:eastAsiaTheme="majorEastAsia"/>
        </w:rPr>
        <w:t>(</w:t>
      </w:r>
      <w:r w:rsidR="00F50A13">
        <w:rPr>
          <w:rStyle w:val="selected"/>
          <w:rFonts w:eastAsiaTheme="majorEastAsia"/>
        </w:rPr>
        <w:t>0.1</w:t>
      </w:r>
      <w:r w:rsidR="00D426A1">
        <w:rPr>
          <w:rStyle w:val="selected"/>
          <w:rFonts w:eastAsiaTheme="majorEastAsia"/>
        </w:rPr>
        <w:t xml:space="preserve">%) </w:t>
      </w:r>
      <w:r w:rsidR="00256C19">
        <w:rPr>
          <w:rStyle w:val="selected"/>
          <w:rFonts w:eastAsiaTheme="majorEastAsia"/>
        </w:rPr>
        <w:t>of</w:t>
      </w:r>
      <w:r w:rsidR="00256C19" w:rsidRPr="00A874E5">
        <w:rPr>
          <w:rStyle w:val="selected"/>
          <w:rFonts w:eastAsiaTheme="majorEastAsia"/>
        </w:rPr>
        <w:t xml:space="preserve"> </w:t>
      </w:r>
      <w:r w:rsidRPr="00A874E5">
        <w:rPr>
          <w:rStyle w:val="selected"/>
          <w:rFonts w:eastAsiaTheme="majorEastAsia"/>
        </w:rPr>
        <w:t>amyloidosis with proteomics data. Compared to the overall UK Biobank proteomics population, the amyloidosis group was older (mean age: 62.75 years; standard deviation: 6.04), while gender distribution was broadly similar, with a slightly higher proportion of males in the disease group. When compared to 422 amyloidosis patients in UK Biobank without proteomics data, the cases with proteomics demonstrated a similar age and gender distribution, supporting the representativeness of this subgroup within the broader amyloidosis population</w:t>
      </w:r>
      <w:r w:rsidR="00D426A1">
        <w:rPr>
          <w:rStyle w:val="selected"/>
          <w:rFonts w:eastAsiaTheme="majorEastAsia"/>
        </w:rPr>
        <w:t xml:space="preserve"> and, n</w:t>
      </w:r>
      <w:r w:rsidR="000E100D">
        <w:rPr>
          <w:rStyle w:val="selected"/>
          <w:rFonts w:eastAsiaTheme="majorEastAsia"/>
        </w:rPr>
        <w:t xml:space="preserve">otably, </w:t>
      </w:r>
      <w:r w:rsidR="00D426A1">
        <w:rPr>
          <w:rStyle w:val="selected"/>
          <w:rFonts w:eastAsiaTheme="majorEastAsia"/>
        </w:rPr>
        <w:t xml:space="preserve">similar to the </w:t>
      </w:r>
      <w:r w:rsidR="000E100D">
        <w:rPr>
          <w:rStyle w:val="selected"/>
          <w:rFonts w:eastAsiaTheme="majorEastAsia"/>
        </w:rPr>
        <w:t xml:space="preserve">demographic profile </w:t>
      </w:r>
      <w:r w:rsidR="00D426A1">
        <w:rPr>
          <w:rStyle w:val="selected"/>
          <w:rFonts w:eastAsiaTheme="majorEastAsia"/>
        </w:rPr>
        <w:t>reported in</w:t>
      </w:r>
      <w:r w:rsidR="000E100D">
        <w:rPr>
          <w:rStyle w:val="selected"/>
          <w:rFonts w:eastAsiaTheme="majorEastAsia"/>
        </w:rPr>
        <w:t xml:space="preserve"> global epidemiological </w:t>
      </w:r>
      <w:r w:rsidR="0044464C">
        <w:rPr>
          <w:rStyle w:val="selected"/>
          <w:rFonts w:eastAsiaTheme="majorEastAsia"/>
        </w:rPr>
        <w:t xml:space="preserve">trends </w:t>
      </w:r>
      <w:r w:rsidR="00D426A1">
        <w:rPr>
          <w:rStyle w:val="selected"/>
          <w:rFonts w:eastAsiaTheme="majorEastAsia"/>
        </w:rPr>
        <w:t>i</w:t>
      </w:r>
      <w:r w:rsidR="000E100D">
        <w:rPr>
          <w:rStyle w:val="selected"/>
          <w:rFonts w:eastAsiaTheme="majorEastAsia"/>
        </w:rPr>
        <w:t>n 2022.</w:t>
      </w:r>
    </w:p>
    <w:p w14:paraId="692C14B8" w14:textId="4A8E6517" w:rsidR="00A874E5" w:rsidRPr="00F56B19" w:rsidRDefault="00092A81" w:rsidP="00F56B19">
      <w:pPr>
        <w:pStyle w:val="NormalWeb"/>
        <w:jc w:val="both"/>
        <w:rPr>
          <w:rFonts w:eastAsiaTheme="majorEastAsia"/>
        </w:rPr>
      </w:pPr>
      <w:r w:rsidRPr="00092A81">
        <w:rPr>
          <w:rStyle w:val="selected"/>
          <w:rFonts w:eastAsiaTheme="majorEastAsia"/>
        </w:rPr>
        <w:t xml:space="preserve">We conducted univariate differential protein expression analysis </w:t>
      </w:r>
      <w:r>
        <w:rPr>
          <w:rStyle w:val="selected"/>
          <w:rFonts w:eastAsiaTheme="majorEastAsia"/>
        </w:rPr>
        <w:t>as well as</w:t>
      </w:r>
      <w:r w:rsidRPr="00092A81">
        <w:rPr>
          <w:rStyle w:val="selected"/>
          <w:rFonts w:eastAsiaTheme="majorEastAsia"/>
        </w:rPr>
        <w:t xml:space="preserve"> a time-to-diagnosis prediction analysis. The differential expression analysis was adjusted for age and sex to identify proteins significantly associated with amyloidosis. This analysis was performed using the Limma package, which applies empirical Bayes methods to improve statistical power, particularly in settings with small and imbalanced sample sizes. Additionally, we developed a time-to-event prediction model using XGBoost, optimised with a Cox proportional hazards loss function. To identify key proteomic predictors of amyloidosis progression, we applied SHapley Additive exPlanations (SHAP). </w:t>
      </w:r>
      <w:r>
        <w:rPr>
          <w:rStyle w:val="selected"/>
          <w:rFonts w:eastAsiaTheme="majorEastAsia"/>
        </w:rPr>
        <w:t>Ongoing cross-platform validation of these biomarkers is being initiated in a prospective cohort of AL and ATTR patients.</w:t>
      </w:r>
    </w:p>
    <w:p w14:paraId="5B23CDD4" w14:textId="7088383A" w:rsidR="00A874E5" w:rsidRDefault="00A874E5" w:rsidP="00876748">
      <w:pPr>
        <w:pStyle w:val="NormalWeb"/>
        <w:jc w:val="both"/>
      </w:pPr>
      <w:r>
        <w:rPr>
          <w:rStyle w:val="selected"/>
          <w:rFonts w:eastAsiaTheme="majorEastAsia"/>
          <w:b/>
          <w:bCs/>
        </w:rPr>
        <w:lastRenderedPageBreak/>
        <w:t>Results:</w:t>
      </w:r>
      <w:r>
        <w:rPr>
          <w:rStyle w:val="selected"/>
          <w:rFonts w:eastAsiaTheme="majorEastAsia"/>
        </w:rPr>
        <w:t xml:space="preserve"> </w:t>
      </w:r>
      <w:r w:rsidR="002A08FF" w:rsidRPr="002A08FF">
        <w:rPr>
          <w:rStyle w:val="selected"/>
          <w:rFonts w:eastAsiaTheme="majorEastAsia"/>
        </w:rPr>
        <w:t xml:space="preserve">Univariate analysis identified </w:t>
      </w:r>
      <w:r w:rsidR="003D554D" w:rsidRPr="00876748">
        <w:rPr>
          <w:rStyle w:val="selected"/>
          <w:rFonts w:eastAsiaTheme="majorEastAsia"/>
        </w:rPr>
        <w:t xml:space="preserve">specific protein alterations associated with </w:t>
      </w:r>
      <w:r w:rsidR="003D554D">
        <w:rPr>
          <w:rStyle w:val="selected"/>
          <w:rFonts w:eastAsiaTheme="majorEastAsia"/>
        </w:rPr>
        <w:t xml:space="preserve">cardiac functions and </w:t>
      </w:r>
      <w:r w:rsidR="003D554D" w:rsidRPr="00876748">
        <w:rPr>
          <w:rStyle w:val="selected"/>
          <w:rFonts w:eastAsiaTheme="majorEastAsia"/>
        </w:rPr>
        <w:t>amyloidosis.</w:t>
      </w:r>
      <w:r w:rsidR="002A08FF" w:rsidRPr="002A08FF">
        <w:rPr>
          <w:rStyle w:val="selected"/>
          <w:rFonts w:eastAsiaTheme="majorEastAsia"/>
        </w:rPr>
        <w:t xml:space="preserve"> A time-to-event prediction model, trained on 70% of the cohort</w:t>
      </w:r>
      <w:r w:rsidR="002B52B2">
        <w:rPr>
          <w:rStyle w:val="selected"/>
          <w:rFonts w:eastAsiaTheme="majorEastAsia"/>
        </w:rPr>
        <w:t xml:space="preserve">, </w:t>
      </w:r>
      <w:r w:rsidR="008A4BE3">
        <w:rPr>
          <w:rStyle w:val="selected"/>
          <w:rFonts w:eastAsiaTheme="majorEastAsia"/>
        </w:rPr>
        <w:t>with the remaining</w:t>
      </w:r>
      <w:r w:rsidR="002A08FF" w:rsidRPr="002A08FF">
        <w:rPr>
          <w:rStyle w:val="selected"/>
          <w:rFonts w:eastAsiaTheme="majorEastAsia"/>
        </w:rPr>
        <w:t xml:space="preserve"> 30% </w:t>
      </w:r>
      <w:r w:rsidR="008A4BE3">
        <w:rPr>
          <w:rStyle w:val="selected"/>
          <w:rFonts w:eastAsiaTheme="majorEastAsia"/>
        </w:rPr>
        <w:t>as “held-out” test data</w:t>
      </w:r>
      <w:r w:rsidR="002B52B2">
        <w:rPr>
          <w:rStyle w:val="selected"/>
          <w:rFonts w:eastAsiaTheme="majorEastAsia"/>
        </w:rPr>
        <w:t>set</w:t>
      </w:r>
      <w:r w:rsidR="002A08FF" w:rsidRPr="002A08FF">
        <w:rPr>
          <w:rStyle w:val="selected"/>
          <w:rFonts w:eastAsiaTheme="majorEastAsia"/>
        </w:rPr>
        <w:t>, demonstrated strong performance with a concordance index (C-index) of 0.81</w:t>
      </w:r>
      <w:r w:rsidR="002B52B2">
        <w:rPr>
          <w:rStyle w:val="selected"/>
          <w:rFonts w:eastAsiaTheme="majorEastAsia"/>
        </w:rPr>
        <w:t xml:space="preserve"> on the test dataset</w:t>
      </w:r>
      <w:r w:rsidR="002A08FF" w:rsidRPr="002A08FF">
        <w:rPr>
          <w:rStyle w:val="selected"/>
          <w:rFonts w:eastAsiaTheme="majorEastAsia"/>
        </w:rPr>
        <w:t xml:space="preserve">. The model identified 15 proteins, partially overlapping with those from the univariate analysis, suggesting potential interactions among proteins and highlighting the importance of temporal dynamics in disease prediction. Time-dependent area under the receiver operating characteristic curve (AUROC) values </w:t>
      </w:r>
      <w:r w:rsidR="004973DD">
        <w:rPr>
          <w:rStyle w:val="selected"/>
          <w:rFonts w:eastAsiaTheme="majorEastAsia"/>
        </w:rPr>
        <w:t xml:space="preserve">on the test dataset </w:t>
      </w:r>
      <w:r w:rsidR="002A08FF" w:rsidRPr="002A08FF">
        <w:rPr>
          <w:rStyle w:val="selected"/>
          <w:rFonts w:eastAsiaTheme="majorEastAsia"/>
        </w:rPr>
        <w:t xml:space="preserve">were 0.7958, 0.7952, 0.7863, 0.8035, and 0.8086 at 4, 6, 8, 10, and 12 years from the baseline assessment, respectively. Several proteins identified in the univariate analysis, along with additional ones revealed by the </w:t>
      </w:r>
      <w:r w:rsidR="00476D74" w:rsidRPr="00092A81">
        <w:rPr>
          <w:rStyle w:val="selected"/>
          <w:rFonts w:eastAsiaTheme="majorEastAsia"/>
        </w:rPr>
        <w:t>XGBoost</w:t>
      </w:r>
      <w:r w:rsidR="00476D74" w:rsidRPr="002A08FF">
        <w:rPr>
          <w:rStyle w:val="selected"/>
          <w:rFonts w:eastAsiaTheme="majorEastAsia"/>
        </w:rPr>
        <w:t xml:space="preserve"> </w:t>
      </w:r>
      <w:r w:rsidR="002A08FF" w:rsidRPr="002A08FF">
        <w:rPr>
          <w:rStyle w:val="selected"/>
          <w:rFonts w:eastAsiaTheme="majorEastAsia"/>
        </w:rPr>
        <w:t>model, emerged as important predictors of disease risk and progression. We are currently initiating prospective validation studies in patient samples with AL and ATTR amyloidosis to investigate the role of these proteins in disease progression and subtype classification.</w:t>
      </w:r>
      <w:r w:rsidR="00DA6418">
        <w:rPr>
          <w:rStyle w:val="selected"/>
          <w:rFonts w:eastAsiaTheme="majorEastAsia"/>
        </w:rPr>
        <w:t xml:space="preserve"> Full analysis of the proteomic data will be presented.</w:t>
      </w:r>
    </w:p>
    <w:p w14:paraId="4612475F" w14:textId="0E1B1D62" w:rsidR="004B6AC3" w:rsidRPr="004B6AC3" w:rsidRDefault="00A874E5" w:rsidP="004B6AC3">
      <w:pPr>
        <w:pStyle w:val="NormalWeb"/>
        <w:jc w:val="both"/>
        <w:rPr>
          <w:rFonts w:eastAsiaTheme="majorEastAsia"/>
        </w:rPr>
      </w:pPr>
      <w:r>
        <w:rPr>
          <w:rStyle w:val="selected"/>
          <w:rFonts w:eastAsiaTheme="majorEastAsia"/>
          <w:b/>
          <w:bCs/>
        </w:rPr>
        <w:t>Conclusion:</w:t>
      </w:r>
      <w:r w:rsidR="004B6AC3">
        <w:rPr>
          <w:rStyle w:val="selected"/>
          <w:rFonts w:eastAsiaTheme="majorEastAsia"/>
        </w:rPr>
        <w:t xml:space="preserve"> </w:t>
      </w:r>
      <w:r w:rsidR="000B08F9" w:rsidRPr="000B08F9">
        <w:rPr>
          <w:rStyle w:val="selected"/>
          <w:rFonts w:eastAsiaTheme="majorEastAsia"/>
        </w:rPr>
        <w:t xml:space="preserve">This study identified novel </w:t>
      </w:r>
      <w:r w:rsidR="007A5339">
        <w:rPr>
          <w:rStyle w:val="selected"/>
          <w:rFonts w:eastAsiaTheme="majorEastAsia"/>
        </w:rPr>
        <w:t xml:space="preserve">abnormally elevated </w:t>
      </w:r>
      <w:r w:rsidR="000B08F9" w:rsidRPr="000B08F9">
        <w:rPr>
          <w:rStyle w:val="selected"/>
          <w:rFonts w:eastAsiaTheme="majorEastAsia"/>
        </w:rPr>
        <w:t xml:space="preserve">protein biomarkers </w:t>
      </w:r>
      <w:r w:rsidR="007A5339">
        <w:rPr>
          <w:rStyle w:val="selected"/>
          <w:rFonts w:eastAsiaTheme="majorEastAsia"/>
        </w:rPr>
        <w:t xml:space="preserve">about a decade before clinical diagnosis of </w:t>
      </w:r>
      <w:r w:rsidR="000B08F9" w:rsidRPr="000B08F9">
        <w:rPr>
          <w:rStyle w:val="selected"/>
          <w:rFonts w:eastAsiaTheme="majorEastAsia"/>
        </w:rPr>
        <w:t>amyloidosis using a large population-based cohort, applying both univariate</w:t>
      </w:r>
      <w:r w:rsidR="00D75F01">
        <w:rPr>
          <w:rStyle w:val="selected"/>
          <w:rFonts w:eastAsiaTheme="majorEastAsia"/>
        </w:rPr>
        <w:t xml:space="preserve"> statistical</w:t>
      </w:r>
      <w:r w:rsidR="000B08F9" w:rsidRPr="000B08F9">
        <w:rPr>
          <w:rStyle w:val="selected"/>
          <w:rFonts w:eastAsiaTheme="majorEastAsia"/>
        </w:rPr>
        <w:t xml:space="preserve"> and multivariate machine learning approaches</w:t>
      </w:r>
      <w:r w:rsidR="00077EF7">
        <w:rPr>
          <w:rStyle w:val="selected"/>
          <w:rFonts w:eastAsiaTheme="majorEastAsia"/>
        </w:rPr>
        <w:t xml:space="preserve">, consistent with published clinical observations of “asymptomatic” amyloid deposits in historical tissue </w:t>
      </w:r>
      <w:r w:rsidR="00C56A19">
        <w:rPr>
          <w:rStyle w:val="selected"/>
          <w:rFonts w:eastAsiaTheme="majorEastAsia"/>
        </w:rPr>
        <w:t>biopsies. The</w:t>
      </w:r>
      <w:r w:rsidR="00FE491B" w:rsidRPr="00F56B19">
        <w:rPr>
          <w:rStyle w:val="selected"/>
          <w:rFonts w:eastAsiaTheme="majorEastAsia"/>
        </w:rPr>
        <w:t xml:space="preserve"> strong predictive performance of our model, together with ongoing cross-platform validation in real-world patient samples, supports </w:t>
      </w:r>
      <w:r w:rsidR="0046078C">
        <w:rPr>
          <w:rStyle w:val="selected"/>
          <w:rFonts w:eastAsiaTheme="majorEastAsia"/>
        </w:rPr>
        <w:t>further</w:t>
      </w:r>
      <w:r w:rsidR="0046078C" w:rsidRPr="00F56B19">
        <w:rPr>
          <w:rStyle w:val="selected"/>
          <w:rFonts w:eastAsiaTheme="majorEastAsia"/>
        </w:rPr>
        <w:t xml:space="preserve"> </w:t>
      </w:r>
      <w:r w:rsidR="00FE491B" w:rsidRPr="00F56B19">
        <w:rPr>
          <w:rStyle w:val="selected"/>
          <w:rFonts w:eastAsiaTheme="majorEastAsia"/>
        </w:rPr>
        <w:t xml:space="preserve">investigation of these biomarkers for their potential </w:t>
      </w:r>
      <w:r w:rsidR="00FE491B">
        <w:rPr>
          <w:rStyle w:val="selected"/>
          <w:rFonts w:eastAsiaTheme="majorEastAsia"/>
        </w:rPr>
        <w:t xml:space="preserve">utility in </w:t>
      </w:r>
      <w:r w:rsidR="0046078C">
        <w:rPr>
          <w:rStyle w:val="selected"/>
          <w:rFonts w:eastAsiaTheme="majorEastAsia"/>
        </w:rPr>
        <w:t>early prediction of amyloidosis</w:t>
      </w:r>
      <w:r w:rsidR="00FE491B">
        <w:rPr>
          <w:rStyle w:val="selected"/>
          <w:rFonts w:eastAsiaTheme="majorEastAsia"/>
        </w:rPr>
        <w:t>.</w:t>
      </w:r>
    </w:p>
    <w:sectPr w:rsidR="004B6AC3" w:rsidRPr="004B6AC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8"/>
  <w:hideSpellingErrors/>
  <w:hideGrammaticalError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74E5"/>
    <w:rsid w:val="00020979"/>
    <w:rsid w:val="0002396F"/>
    <w:rsid w:val="00030B5F"/>
    <w:rsid w:val="00040DF0"/>
    <w:rsid w:val="00043090"/>
    <w:rsid w:val="00046E5F"/>
    <w:rsid w:val="00047DEC"/>
    <w:rsid w:val="0005703D"/>
    <w:rsid w:val="00066A8A"/>
    <w:rsid w:val="00070184"/>
    <w:rsid w:val="00071CCF"/>
    <w:rsid w:val="00074FED"/>
    <w:rsid w:val="00077EF7"/>
    <w:rsid w:val="00092A81"/>
    <w:rsid w:val="000956E4"/>
    <w:rsid w:val="000B08F9"/>
    <w:rsid w:val="000B4C5A"/>
    <w:rsid w:val="000C3C39"/>
    <w:rsid w:val="000C6E1B"/>
    <w:rsid w:val="000E02EA"/>
    <w:rsid w:val="000E05C8"/>
    <w:rsid w:val="000E100D"/>
    <w:rsid w:val="000E1ACE"/>
    <w:rsid w:val="000E3A3A"/>
    <w:rsid w:val="000E6D97"/>
    <w:rsid w:val="000E7D1B"/>
    <w:rsid w:val="000F291F"/>
    <w:rsid w:val="00101AD5"/>
    <w:rsid w:val="001031BD"/>
    <w:rsid w:val="00105D4B"/>
    <w:rsid w:val="00107C1E"/>
    <w:rsid w:val="00121658"/>
    <w:rsid w:val="00125A25"/>
    <w:rsid w:val="001358E6"/>
    <w:rsid w:val="00140570"/>
    <w:rsid w:val="001503FD"/>
    <w:rsid w:val="00152666"/>
    <w:rsid w:val="00161970"/>
    <w:rsid w:val="0016231B"/>
    <w:rsid w:val="00171CA8"/>
    <w:rsid w:val="001746AA"/>
    <w:rsid w:val="00182C49"/>
    <w:rsid w:val="0018397C"/>
    <w:rsid w:val="001863F6"/>
    <w:rsid w:val="0019139C"/>
    <w:rsid w:val="001A0573"/>
    <w:rsid w:val="001A4BF0"/>
    <w:rsid w:val="001B2673"/>
    <w:rsid w:val="001B4AA6"/>
    <w:rsid w:val="001F32DE"/>
    <w:rsid w:val="00203EC1"/>
    <w:rsid w:val="00205F44"/>
    <w:rsid w:val="00206CAF"/>
    <w:rsid w:val="00207570"/>
    <w:rsid w:val="002134B7"/>
    <w:rsid w:val="002140B2"/>
    <w:rsid w:val="002261A6"/>
    <w:rsid w:val="00235680"/>
    <w:rsid w:val="002476BC"/>
    <w:rsid w:val="00252789"/>
    <w:rsid w:val="00256C19"/>
    <w:rsid w:val="00257AF9"/>
    <w:rsid w:val="00261E33"/>
    <w:rsid w:val="002648EB"/>
    <w:rsid w:val="002665BE"/>
    <w:rsid w:val="00270E23"/>
    <w:rsid w:val="00281D53"/>
    <w:rsid w:val="0028315B"/>
    <w:rsid w:val="0028350B"/>
    <w:rsid w:val="00286DE1"/>
    <w:rsid w:val="00296CA2"/>
    <w:rsid w:val="002A0850"/>
    <w:rsid w:val="002A08FF"/>
    <w:rsid w:val="002A6E03"/>
    <w:rsid w:val="002B43D9"/>
    <w:rsid w:val="002B52B2"/>
    <w:rsid w:val="002B5400"/>
    <w:rsid w:val="002C6706"/>
    <w:rsid w:val="002D280E"/>
    <w:rsid w:val="002D296A"/>
    <w:rsid w:val="002D460D"/>
    <w:rsid w:val="002D56A8"/>
    <w:rsid w:val="002D639F"/>
    <w:rsid w:val="002E56E4"/>
    <w:rsid w:val="00315FB3"/>
    <w:rsid w:val="00324BE5"/>
    <w:rsid w:val="00336C3D"/>
    <w:rsid w:val="00351D23"/>
    <w:rsid w:val="0035389F"/>
    <w:rsid w:val="003825F7"/>
    <w:rsid w:val="00383399"/>
    <w:rsid w:val="003968C3"/>
    <w:rsid w:val="003B407C"/>
    <w:rsid w:val="003C1C2E"/>
    <w:rsid w:val="003D554D"/>
    <w:rsid w:val="003D74A9"/>
    <w:rsid w:val="003E6E11"/>
    <w:rsid w:val="003E79B4"/>
    <w:rsid w:val="003F0A38"/>
    <w:rsid w:val="003F4820"/>
    <w:rsid w:val="00401EFF"/>
    <w:rsid w:val="0040538C"/>
    <w:rsid w:val="00405E0D"/>
    <w:rsid w:val="0041613D"/>
    <w:rsid w:val="0044464C"/>
    <w:rsid w:val="004468C5"/>
    <w:rsid w:val="0044764C"/>
    <w:rsid w:val="0045507F"/>
    <w:rsid w:val="004573AD"/>
    <w:rsid w:val="0046078C"/>
    <w:rsid w:val="004676F2"/>
    <w:rsid w:val="00476D74"/>
    <w:rsid w:val="00481B43"/>
    <w:rsid w:val="00483A05"/>
    <w:rsid w:val="004848BA"/>
    <w:rsid w:val="004973DD"/>
    <w:rsid w:val="004B6AC3"/>
    <w:rsid w:val="004C3005"/>
    <w:rsid w:val="004C37EC"/>
    <w:rsid w:val="004C5CCC"/>
    <w:rsid w:val="004D36E9"/>
    <w:rsid w:val="004D7D48"/>
    <w:rsid w:val="004F4C85"/>
    <w:rsid w:val="00501AEC"/>
    <w:rsid w:val="00514F5C"/>
    <w:rsid w:val="005270BC"/>
    <w:rsid w:val="00527BC8"/>
    <w:rsid w:val="00530535"/>
    <w:rsid w:val="00546395"/>
    <w:rsid w:val="0055082D"/>
    <w:rsid w:val="00556757"/>
    <w:rsid w:val="00562321"/>
    <w:rsid w:val="00574364"/>
    <w:rsid w:val="005768EA"/>
    <w:rsid w:val="005965C4"/>
    <w:rsid w:val="005A3D11"/>
    <w:rsid w:val="005D0769"/>
    <w:rsid w:val="005D4B3B"/>
    <w:rsid w:val="005E205F"/>
    <w:rsid w:val="005F3707"/>
    <w:rsid w:val="00603E36"/>
    <w:rsid w:val="00614735"/>
    <w:rsid w:val="00620461"/>
    <w:rsid w:val="00621582"/>
    <w:rsid w:val="00633BED"/>
    <w:rsid w:val="00651291"/>
    <w:rsid w:val="00655671"/>
    <w:rsid w:val="00666FAC"/>
    <w:rsid w:val="00672236"/>
    <w:rsid w:val="006761A2"/>
    <w:rsid w:val="006863AC"/>
    <w:rsid w:val="00693B80"/>
    <w:rsid w:val="00697C72"/>
    <w:rsid w:val="00697C7F"/>
    <w:rsid w:val="006A089F"/>
    <w:rsid w:val="006B1379"/>
    <w:rsid w:val="006D5D88"/>
    <w:rsid w:val="006E16F8"/>
    <w:rsid w:val="006E3450"/>
    <w:rsid w:val="00700469"/>
    <w:rsid w:val="00700508"/>
    <w:rsid w:val="00701997"/>
    <w:rsid w:val="00703FAC"/>
    <w:rsid w:val="0071285D"/>
    <w:rsid w:val="007150AF"/>
    <w:rsid w:val="007162B9"/>
    <w:rsid w:val="00737CE8"/>
    <w:rsid w:val="00742DC3"/>
    <w:rsid w:val="00744DCB"/>
    <w:rsid w:val="0074642F"/>
    <w:rsid w:val="0076498F"/>
    <w:rsid w:val="0076677C"/>
    <w:rsid w:val="00773994"/>
    <w:rsid w:val="00774811"/>
    <w:rsid w:val="00794F02"/>
    <w:rsid w:val="007A5339"/>
    <w:rsid w:val="007A6507"/>
    <w:rsid w:val="007A66B6"/>
    <w:rsid w:val="007B1A5A"/>
    <w:rsid w:val="007C4E94"/>
    <w:rsid w:val="007E04DF"/>
    <w:rsid w:val="007E3842"/>
    <w:rsid w:val="008063C0"/>
    <w:rsid w:val="00822B5F"/>
    <w:rsid w:val="00823163"/>
    <w:rsid w:val="00826A74"/>
    <w:rsid w:val="008315CD"/>
    <w:rsid w:val="00845876"/>
    <w:rsid w:val="008462EA"/>
    <w:rsid w:val="00850F69"/>
    <w:rsid w:val="008635DC"/>
    <w:rsid w:val="00864347"/>
    <w:rsid w:val="00864BC8"/>
    <w:rsid w:val="008723A2"/>
    <w:rsid w:val="00873F1A"/>
    <w:rsid w:val="00875DA6"/>
    <w:rsid w:val="00876748"/>
    <w:rsid w:val="008866D5"/>
    <w:rsid w:val="00890ABA"/>
    <w:rsid w:val="008A4BE3"/>
    <w:rsid w:val="008B5ECB"/>
    <w:rsid w:val="008B6A4F"/>
    <w:rsid w:val="008B758A"/>
    <w:rsid w:val="008C25A5"/>
    <w:rsid w:val="008C55FB"/>
    <w:rsid w:val="008F006B"/>
    <w:rsid w:val="008F2F2C"/>
    <w:rsid w:val="008F59A9"/>
    <w:rsid w:val="00902778"/>
    <w:rsid w:val="0090676B"/>
    <w:rsid w:val="00906D30"/>
    <w:rsid w:val="00912BA8"/>
    <w:rsid w:val="00921138"/>
    <w:rsid w:val="0092278D"/>
    <w:rsid w:val="00930552"/>
    <w:rsid w:val="0093193E"/>
    <w:rsid w:val="00935D18"/>
    <w:rsid w:val="009523C4"/>
    <w:rsid w:val="00952CFB"/>
    <w:rsid w:val="00956831"/>
    <w:rsid w:val="00961DC7"/>
    <w:rsid w:val="00962096"/>
    <w:rsid w:val="00962CC8"/>
    <w:rsid w:val="009919D1"/>
    <w:rsid w:val="0099289C"/>
    <w:rsid w:val="009A08EE"/>
    <w:rsid w:val="009A3B56"/>
    <w:rsid w:val="009B580A"/>
    <w:rsid w:val="009C0C37"/>
    <w:rsid w:val="009C32B7"/>
    <w:rsid w:val="009C52F8"/>
    <w:rsid w:val="009C6F63"/>
    <w:rsid w:val="009D2908"/>
    <w:rsid w:val="009E32B9"/>
    <w:rsid w:val="009E745A"/>
    <w:rsid w:val="009F3314"/>
    <w:rsid w:val="009F3D62"/>
    <w:rsid w:val="009F4BA0"/>
    <w:rsid w:val="00A03B97"/>
    <w:rsid w:val="00A05978"/>
    <w:rsid w:val="00A11128"/>
    <w:rsid w:val="00A220E5"/>
    <w:rsid w:val="00A27A4C"/>
    <w:rsid w:val="00A27F85"/>
    <w:rsid w:val="00A34896"/>
    <w:rsid w:val="00A357D8"/>
    <w:rsid w:val="00A3763B"/>
    <w:rsid w:val="00A42665"/>
    <w:rsid w:val="00A65EDA"/>
    <w:rsid w:val="00A66001"/>
    <w:rsid w:val="00A74C3E"/>
    <w:rsid w:val="00A76980"/>
    <w:rsid w:val="00A81796"/>
    <w:rsid w:val="00A85849"/>
    <w:rsid w:val="00A874E5"/>
    <w:rsid w:val="00A9549E"/>
    <w:rsid w:val="00AA5A60"/>
    <w:rsid w:val="00AA73C1"/>
    <w:rsid w:val="00AA7B01"/>
    <w:rsid w:val="00AB4861"/>
    <w:rsid w:val="00AD1CC3"/>
    <w:rsid w:val="00AD1F0D"/>
    <w:rsid w:val="00AD27B8"/>
    <w:rsid w:val="00AD570C"/>
    <w:rsid w:val="00AE1A78"/>
    <w:rsid w:val="00AE465B"/>
    <w:rsid w:val="00AE63D2"/>
    <w:rsid w:val="00B01377"/>
    <w:rsid w:val="00B46922"/>
    <w:rsid w:val="00B5110B"/>
    <w:rsid w:val="00B55689"/>
    <w:rsid w:val="00B569BD"/>
    <w:rsid w:val="00B56BB0"/>
    <w:rsid w:val="00B60C48"/>
    <w:rsid w:val="00B62B6E"/>
    <w:rsid w:val="00B75A26"/>
    <w:rsid w:val="00B8156A"/>
    <w:rsid w:val="00B878CC"/>
    <w:rsid w:val="00B90731"/>
    <w:rsid w:val="00BA3971"/>
    <w:rsid w:val="00BB0A38"/>
    <w:rsid w:val="00BB1C00"/>
    <w:rsid w:val="00BB2008"/>
    <w:rsid w:val="00BB4452"/>
    <w:rsid w:val="00BB59F7"/>
    <w:rsid w:val="00BC1EAD"/>
    <w:rsid w:val="00BC306B"/>
    <w:rsid w:val="00BC3D8C"/>
    <w:rsid w:val="00BC595C"/>
    <w:rsid w:val="00BD17AF"/>
    <w:rsid w:val="00BD5CDC"/>
    <w:rsid w:val="00BF527C"/>
    <w:rsid w:val="00BF6E34"/>
    <w:rsid w:val="00C0135C"/>
    <w:rsid w:val="00C06E14"/>
    <w:rsid w:val="00C1054E"/>
    <w:rsid w:val="00C113A6"/>
    <w:rsid w:val="00C2063A"/>
    <w:rsid w:val="00C21698"/>
    <w:rsid w:val="00C50173"/>
    <w:rsid w:val="00C50D01"/>
    <w:rsid w:val="00C56A19"/>
    <w:rsid w:val="00C6437E"/>
    <w:rsid w:val="00C655D6"/>
    <w:rsid w:val="00C6642C"/>
    <w:rsid w:val="00C800E2"/>
    <w:rsid w:val="00C81E71"/>
    <w:rsid w:val="00C9062E"/>
    <w:rsid w:val="00CA3AAA"/>
    <w:rsid w:val="00CA4DB0"/>
    <w:rsid w:val="00CB2C12"/>
    <w:rsid w:val="00CB317B"/>
    <w:rsid w:val="00CB632F"/>
    <w:rsid w:val="00CC0485"/>
    <w:rsid w:val="00CD49EB"/>
    <w:rsid w:val="00CE50CE"/>
    <w:rsid w:val="00CF7B9B"/>
    <w:rsid w:val="00D03EAB"/>
    <w:rsid w:val="00D13A27"/>
    <w:rsid w:val="00D220B9"/>
    <w:rsid w:val="00D22CD3"/>
    <w:rsid w:val="00D426A1"/>
    <w:rsid w:val="00D4300B"/>
    <w:rsid w:val="00D52F39"/>
    <w:rsid w:val="00D60CFF"/>
    <w:rsid w:val="00D62713"/>
    <w:rsid w:val="00D75F01"/>
    <w:rsid w:val="00D86F58"/>
    <w:rsid w:val="00D87F32"/>
    <w:rsid w:val="00D94512"/>
    <w:rsid w:val="00DA6418"/>
    <w:rsid w:val="00DC021A"/>
    <w:rsid w:val="00DD433F"/>
    <w:rsid w:val="00DD6051"/>
    <w:rsid w:val="00DD61B8"/>
    <w:rsid w:val="00DE37F0"/>
    <w:rsid w:val="00DF652D"/>
    <w:rsid w:val="00E0240C"/>
    <w:rsid w:val="00E10989"/>
    <w:rsid w:val="00E1706A"/>
    <w:rsid w:val="00E17751"/>
    <w:rsid w:val="00E34B06"/>
    <w:rsid w:val="00E544E6"/>
    <w:rsid w:val="00E63E62"/>
    <w:rsid w:val="00E63FD3"/>
    <w:rsid w:val="00E743FE"/>
    <w:rsid w:val="00E90394"/>
    <w:rsid w:val="00EA556E"/>
    <w:rsid w:val="00EB1E0E"/>
    <w:rsid w:val="00EB5142"/>
    <w:rsid w:val="00EC10DE"/>
    <w:rsid w:val="00EC299B"/>
    <w:rsid w:val="00EC49EC"/>
    <w:rsid w:val="00EE16ED"/>
    <w:rsid w:val="00EE327A"/>
    <w:rsid w:val="00EE6514"/>
    <w:rsid w:val="00EF6D43"/>
    <w:rsid w:val="00F02694"/>
    <w:rsid w:val="00F42BDE"/>
    <w:rsid w:val="00F45C2F"/>
    <w:rsid w:val="00F50A13"/>
    <w:rsid w:val="00F529E4"/>
    <w:rsid w:val="00F56B19"/>
    <w:rsid w:val="00F608F7"/>
    <w:rsid w:val="00F74E6D"/>
    <w:rsid w:val="00F75587"/>
    <w:rsid w:val="00F90C1D"/>
    <w:rsid w:val="00FA4B33"/>
    <w:rsid w:val="00FB3618"/>
    <w:rsid w:val="00FB6CB1"/>
    <w:rsid w:val="00FD3318"/>
    <w:rsid w:val="00FD4DB4"/>
    <w:rsid w:val="00FE491B"/>
    <w:rsid w:val="00FE7DF2"/>
    <w:rsid w:val="00FF0571"/>
    <w:rsid w:val="00FF0DB2"/>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22FF58"/>
  <w15:chartTrackingRefBased/>
  <w15:docId w15:val="{DC1EB2BD-F1E7-774B-9446-099083787A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874E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874E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874E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874E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874E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874E5"/>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874E5"/>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874E5"/>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874E5"/>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874E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874E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874E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874E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874E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874E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874E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874E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874E5"/>
    <w:rPr>
      <w:rFonts w:eastAsiaTheme="majorEastAsia" w:cstheme="majorBidi"/>
      <w:color w:val="272727" w:themeColor="text1" w:themeTint="D8"/>
    </w:rPr>
  </w:style>
  <w:style w:type="paragraph" w:styleId="Title">
    <w:name w:val="Title"/>
    <w:basedOn w:val="Normal"/>
    <w:next w:val="Normal"/>
    <w:link w:val="TitleChar"/>
    <w:uiPriority w:val="10"/>
    <w:qFormat/>
    <w:rsid w:val="00A874E5"/>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874E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874E5"/>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874E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874E5"/>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A874E5"/>
    <w:rPr>
      <w:i/>
      <w:iCs/>
      <w:color w:val="404040" w:themeColor="text1" w:themeTint="BF"/>
    </w:rPr>
  </w:style>
  <w:style w:type="paragraph" w:styleId="ListParagraph">
    <w:name w:val="List Paragraph"/>
    <w:basedOn w:val="Normal"/>
    <w:uiPriority w:val="34"/>
    <w:qFormat/>
    <w:rsid w:val="00A874E5"/>
    <w:pPr>
      <w:ind w:left="720"/>
      <w:contextualSpacing/>
    </w:pPr>
  </w:style>
  <w:style w:type="character" w:styleId="IntenseEmphasis">
    <w:name w:val="Intense Emphasis"/>
    <w:basedOn w:val="DefaultParagraphFont"/>
    <w:uiPriority w:val="21"/>
    <w:qFormat/>
    <w:rsid w:val="00A874E5"/>
    <w:rPr>
      <w:i/>
      <w:iCs/>
      <w:color w:val="0F4761" w:themeColor="accent1" w:themeShade="BF"/>
    </w:rPr>
  </w:style>
  <w:style w:type="paragraph" w:styleId="IntenseQuote">
    <w:name w:val="Intense Quote"/>
    <w:basedOn w:val="Normal"/>
    <w:next w:val="Normal"/>
    <w:link w:val="IntenseQuoteChar"/>
    <w:uiPriority w:val="30"/>
    <w:qFormat/>
    <w:rsid w:val="00A874E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874E5"/>
    <w:rPr>
      <w:i/>
      <w:iCs/>
      <w:color w:val="0F4761" w:themeColor="accent1" w:themeShade="BF"/>
    </w:rPr>
  </w:style>
  <w:style w:type="character" w:styleId="IntenseReference">
    <w:name w:val="Intense Reference"/>
    <w:basedOn w:val="DefaultParagraphFont"/>
    <w:uiPriority w:val="32"/>
    <w:qFormat/>
    <w:rsid w:val="00A874E5"/>
    <w:rPr>
      <w:b/>
      <w:bCs/>
      <w:smallCaps/>
      <w:color w:val="0F4761" w:themeColor="accent1" w:themeShade="BF"/>
      <w:spacing w:val="5"/>
    </w:rPr>
  </w:style>
  <w:style w:type="paragraph" w:styleId="NormalWeb">
    <w:name w:val="Normal (Web)"/>
    <w:basedOn w:val="Normal"/>
    <w:uiPriority w:val="99"/>
    <w:unhideWhenUsed/>
    <w:rsid w:val="00A874E5"/>
    <w:pPr>
      <w:spacing w:before="100" w:beforeAutospacing="1" w:after="100" w:afterAutospacing="1"/>
    </w:pPr>
    <w:rPr>
      <w:rFonts w:ascii="Times New Roman" w:eastAsia="Times New Roman" w:hAnsi="Times New Roman" w:cs="Times New Roman"/>
      <w:kern w:val="0"/>
      <w:lang w:eastAsia="en-GB"/>
      <w14:ligatures w14:val="none"/>
    </w:rPr>
  </w:style>
  <w:style w:type="character" w:customStyle="1" w:styleId="selected">
    <w:name w:val="selected"/>
    <w:basedOn w:val="DefaultParagraphFont"/>
    <w:rsid w:val="00A874E5"/>
  </w:style>
  <w:style w:type="character" w:styleId="CommentReference">
    <w:name w:val="annotation reference"/>
    <w:basedOn w:val="DefaultParagraphFont"/>
    <w:uiPriority w:val="99"/>
    <w:semiHidden/>
    <w:unhideWhenUsed/>
    <w:rsid w:val="004973DD"/>
    <w:rPr>
      <w:sz w:val="16"/>
      <w:szCs w:val="16"/>
    </w:rPr>
  </w:style>
  <w:style w:type="paragraph" w:styleId="CommentText">
    <w:name w:val="annotation text"/>
    <w:basedOn w:val="Normal"/>
    <w:link w:val="CommentTextChar"/>
    <w:uiPriority w:val="99"/>
    <w:semiHidden/>
    <w:unhideWhenUsed/>
    <w:rsid w:val="004973DD"/>
    <w:rPr>
      <w:sz w:val="20"/>
      <w:szCs w:val="20"/>
    </w:rPr>
  </w:style>
  <w:style w:type="character" w:customStyle="1" w:styleId="CommentTextChar">
    <w:name w:val="Comment Text Char"/>
    <w:basedOn w:val="DefaultParagraphFont"/>
    <w:link w:val="CommentText"/>
    <w:uiPriority w:val="99"/>
    <w:semiHidden/>
    <w:rsid w:val="004973DD"/>
    <w:rPr>
      <w:sz w:val="20"/>
      <w:szCs w:val="20"/>
    </w:rPr>
  </w:style>
  <w:style w:type="paragraph" w:styleId="CommentSubject">
    <w:name w:val="annotation subject"/>
    <w:basedOn w:val="CommentText"/>
    <w:next w:val="CommentText"/>
    <w:link w:val="CommentSubjectChar"/>
    <w:uiPriority w:val="99"/>
    <w:semiHidden/>
    <w:unhideWhenUsed/>
    <w:rsid w:val="004973DD"/>
    <w:rPr>
      <w:b/>
      <w:bCs/>
    </w:rPr>
  </w:style>
  <w:style w:type="character" w:customStyle="1" w:styleId="CommentSubjectChar">
    <w:name w:val="Comment Subject Char"/>
    <w:basedOn w:val="CommentTextChar"/>
    <w:link w:val="CommentSubject"/>
    <w:uiPriority w:val="99"/>
    <w:semiHidden/>
    <w:rsid w:val="004973DD"/>
    <w:rPr>
      <w:b/>
      <w:bCs/>
      <w:sz w:val="20"/>
      <w:szCs w:val="20"/>
    </w:rPr>
  </w:style>
  <w:style w:type="paragraph" w:styleId="Revision">
    <w:name w:val="Revision"/>
    <w:hidden/>
    <w:uiPriority w:val="99"/>
    <w:semiHidden/>
    <w:rsid w:val="00AE465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11246390">
      <w:bodyDiv w:val="1"/>
      <w:marLeft w:val="0"/>
      <w:marRight w:val="0"/>
      <w:marTop w:val="0"/>
      <w:marBottom w:val="0"/>
      <w:divBdr>
        <w:top w:val="none" w:sz="0" w:space="0" w:color="auto"/>
        <w:left w:val="none" w:sz="0" w:space="0" w:color="auto"/>
        <w:bottom w:val="none" w:sz="0" w:space="0" w:color="auto"/>
        <w:right w:val="none" w:sz="0" w:space="0" w:color="auto"/>
      </w:divBdr>
    </w:div>
    <w:div w:id="21198316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822</Words>
  <Characters>4692</Characters>
  <Application>Microsoft Office Word</Application>
  <DocSecurity>4</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Seyed Alireza Hasheminasab</dc:creator>
  <cp:keywords/>
  <dc:description/>
  <cp:lastModifiedBy>Wendy Notowicz</cp:lastModifiedBy>
  <cp:revision>2</cp:revision>
  <dcterms:created xsi:type="dcterms:W3CDTF">2025-10-07T16:52:00Z</dcterms:created>
  <dcterms:modified xsi:type="dcterms:W3CDTF">2025-10-07T16:52:00Z</dcterms:modified>
</cp:coreProperties>
</file>